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D0C43" w14:textId="77777777" w:rsidR="00275C85" w:rsidRDefault="00BA00F2">
      <w:pPr>
        <w:spacing w:before="49" w:line="271" w:lineRule="auto"/>
        <w:ind w:left="3652" w:right="3345" w:firstLine="552"/>
        <w:rPr>
          <w:b/>
          <w:sz w:val="20"/>
        </w:rPr>
      </w:pPr>
      <w:r>
        <w:rPr>
          <w:b/>
          <w:sz w:val="20"/>
        </w:rPr>
        <w:t>ANEXO N°15 CUADROS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NOTA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17</w:t>
      </w:r>
    </w:p>
    <w:p w14:paraId="56EC52FC" w14:textId="77777777" w:rsidR="00275C85" w:rsidRDefault="00275C85">
      <w:pPr>
        <w:pStyle w:val="Textoindependiente"/>
        <w:spacing w:before="32"/>
        <w:rPr>
          <w:b/>
        </w:rPr>
      </w:pPr>
    </w:p>
    <w:p w14:paraId="16AAF853" w14:textId="77777777" w:rsidR="0073048E" w:rsidRDefault="0073048E">
      <w:pPr>
        <w:pStyle w:val="Textoindependiente"/>
        <w:spacing w:before="32"/>
        <w:rPr>
          <w:b/>
        </w:rPr>
      </w:pPr>
    </w:p>
    <w:p w14:paraId="433875EC" w14:textId="77777777" w:rsidR="00275C85" w:rsidRDefault="00BA00F2">
      <w:pPr>
        <w:ind w:left="118"/>
        <w:rPr>
          <w:sz w:val="20"/>
        </w:rPr>
      </w:pPr>
      <w:r>
        <w:rPr>
          <w:b/>
          <w:sz w:val="20"/>
        </w:rPr>
        <w:t>Cuadro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N°1.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Otros</w:t>
      </w:r>
      <w:r>
        <w:rPr>
          <w:spacing w:val="-9"/>
          <w:sz w:val="20"/>
        </w:rPr>
        <w:t xml:space="preserve"> </w:t>
      </w:r>
      <w:r>
        <w:rPr>
          <w:sz w:val="20"/>
        </w:rPr>
        <w:t>pasivos</w:t>
      </w:r>
      <w:r>
        <w:rPr>
          <w:spacing w:val="-9"/>
          <w:sz w:val="20"/>
        </w:rPr>
        <w:t xml:space="preserve"> </w:t>
      </w:r>
      <w:r>
        <w:rPr>
          <w:sz w:val="20"/>
        </w:rPr>
        <w:t>financieros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corrientes</w:t>
      </w:r>
    </w:p>
    <w:p w14:paraId="6810B98C" w14:textId="77777777" w:rsidR="00275C85" w:rsidRDefault="00275C85">
      <w:pPr>
        <w:pStyle w:val="Textoindependiente"/>
        <w:spacing w:before="62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1488"/>
        <w:gridCol w:w="1486"/>
      </w:tblGrid>
      <w:tr w:rsidR="00275C85" w14:paraId="707E2EE0" w14:textId="77777777">
        <w:trPr>
          <w:trHeight w:val="527"/>
        </w:trPr>
        <w:tc>
          <w:tcPr>
            <w:tcW w:w="5456" w:type="dxa"/>
          </w:tcPr>
          <w:p w14:paraId="64AB0F64" w14:textId="77777777" w:rsidR="00275C85" w:rsidRDefault="00BA00F2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Concepto</w:t>
            </w:r>
          </w:p>
        </w:tc>
        <w:tc>
          <w:tcPr>
            <w:tcW w:w="1488" w:type="dxa"/>
          </w:tcPr>
          <w:p w14:paraId="117A5FE0" w14:textId="77777777" w:rsidR="00275C85" w:rsidRDefault="00BA00F2">
            <w:pPr>
              <w:pStyle w:val="TableParagraph"/>
              <w:spacing w:before="133"/>
              <w:ind w:left="129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486" w:type="dxa"/>
          </w:tcPr>
          <w:p w14:paraId="1EBCC11C" w14:textId="77777777" w:rsidR="00275C85" w:rsidRDefault="00BA00F2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Periodo</w:t>
            </w:r>
          </w:p>
          <w:p w14:paraId="4A491382" w14:textId="77777777" w:rsidR="00275C85" w:rsidRDefault="00BA00F2">
            <w:pPr>
              <w:pStyle w:val="TableParagraph"/>
              <w:spacing w:before="18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Anterior</w:t>
            </w:r>
          </w:p>
        </w:tc>
      </w:tr>
      <w:tr w:rsidR="00275C85" w14:paraId="3226F26A" w14:textId="77777777">
        <w:trPr>
          <w:trHeight w:val="263"/>
        </w:trPr>
        <w:tc>
          <w:tcPr>
            <w:tcW w:w="5456" w:type="dxa"/>
          </w:tcPr>
          <w:p w14:paraId="33D9409C" w14:textId="77777777" w:rsidR="00275C85" w:rsidRDefault="00BA00F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bancos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financieras</w:t>
            </w:r>
          </w:p>
        </w:tc>
        <w:tc>
          <w:tcPr>
            <w:tcW w:w="1488" w:type="dxa"/>
          </w:tcPr>
          <w:p w14:paraId="3090769E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14:paraId="31234BFD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C85" w14:paraId="57516701" w14:textId="77777777">
        <w:trPr>
          <w:trHeight w:val="263"/>
        </w:trPr>
        <w:tc>
          <w:tcPr>
            <w:tcW w:w="5456" w:type="dxa"/>
          </w:tcPr>
          <w:p w14:paraId="1B2EAD9E" w14:textId="77777777" w:rsidR="00275C85" w:rsidRDefault="00BA00F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Obligaciones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instituciones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públicas</w:t>
            </w:r>
          </w:p>
        </w:tc>
        <w:tc>
          <w:tcPr>
            <w:tcW w:w="1488" w:type="dxa"/>
          </w:tcPr>
          <w:p w14:paraId="68C74975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14:paraId="4059FD26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C85" w14:paraId="5889CF3F" w14:textId="77777777">
        <w:trPr>
          <w:trHeight w:val="263"/>
        </w:trPr>
        <w:tc>
          <w:tcPr>
            <w:tcW w:w="5456" w:type="dxa"/>
          </w:tcPr>
          <w:p w14:paraId="68E98726" w14:textId="77777777" w:rsidR="00275C85" w:rsidRDefault="00BA00F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1488" w:type="dxa"/>
          </w:tcPr>
          <w:p w14:paraId="61F2AB52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14:paraId="35A365EC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C85" w14:paraId="4901F923" w14:textId="77777777">
        <w:trPr>
          <w:trHeight w:val="263"/>
        </w:trPr>
        <w:tc>
          <w:tcPr>
            <w:tcW w:w="5456" w:type="dxa"/>
          </w:tcPr>
          <w:p w14:paraId="39E08CC9" w14:textId="77777777" w:rsidR="00275C85" w:rsidRDefault="00BA00F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Otros</w:t>
            </w:r>
          </w:p>
        </w:tc>
        <w:tc>
          <w:tcPr>
            <w:tcW w:w="1488" w:type="dxa"/>
          </w:tcPr>
          <w:p w14:paraId="7685E03F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14:paraId="08F8B9F1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C85" w14:paraId="03BA37D2" w14:textId="77777777">
        <w:trPr>
          <w:trHeight w:val="263"/>
        </w:trPr>
        <w:tc>
          <w:tcPr>
            <w:tcW w:w="5456" w:type="dxa"/>
          </w:tcPr>
          <w:p w14:paraId="6BBFA275" w14:textId="77777777" w:rsidR="00275C85" w:rsidRDefault="00BA00F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88" w:type="dxa"/>
          </w:tcPr>
          <w:p w14:paraId="31C84E2D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14:paraId="6C6BEEEF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C85" w14:paraId="68D15494" w14:textId="77777777">
        <w:trPr>
          <w:trHeight w:val="264"/>
        </w:trPr>
        <w:tc>
          <w:tcPr>
            <w:tcW w:w="5456" w:type="dxa"/>
          </w:tcPr>
          <w:p w14:paraId="19FC2378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78E98490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14:paraId="318F7D94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A6AC59" w14:textId="77777777" w:rsidR="00275C85" w:rsidRDefault="00275C85">
      <w:pPr>
        <w:pStyle w:val="Textoindependiente"/>
        <w:spacing w:before="22"/>
      </w:pPr>
    </w:p>
    <w:p w14:paraId="322EB277" w14:textId="77777777" w:rsidR="00275C85" w:rsidRDefault="00BA00F2">
      <w:pPr>
        <w:ind w:left="118"/>
        <w:rPr>
          <w:sz w:val="20"/>
        </w:rPr>
      </w:pPr>
      <w:r>
        <w:rPr>
          <w:b/>
          <w:sz w:val="20"/>
        </w:rPr>
        <w:t>Cuadro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N°2.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Otros</w:t>
      </w:r>
      <w:r>
        <w:rPr>
          <w:spacing w:val="-8"/>
          <w:sz w:val="20"/>
        </w:rPr>
        <w:t xml:space="preserve"> </w:t>
      </w:r>
      <w:r>
        <w:rPr>
          <w:sz w:val="20"/>
        </w:rPr>
        <w:t>pasivos</w:t>
      </w:r>
      <w:r>
        <w:rPr>
          <w:spacing w:val="-8"/>
          <w:sz w:val="20"/>
        </w:rPr>
        <w:t xml:space="preserve"> </w:t>
      </w:r>
      <w:r>
        <w:rPr>
          <w:sz w:val="20"/>
        </w:rPr>
        <w:t>financieros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corrientes</w:t>
      </w:r>
    </w:p>
    <w:p w14:paraId="44815ACB" w14:textId="77777777" w:rsidR="00275C85" w:rsidRDefault="00275C85">
      <w:pPr>
        <w:pStyle w:val="Textoindependiente"/>
        <w:spacing w:before="5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2"/>
        <w:gridCol w:w="1483"/>
        <w:gridCol w:w="1635"/>
      </w:tblGrid>
      <w:tr w:rsidR="00275C85" w14:paraId="0C779DE2" w14:textId="77777777">
        <w:trPr>
          <w:trHeight w:val="263"/>
        </w:trPr>
        <w:tc>
          <w:tcPr>
            <w:tcW w:w="5312" w:type="dxa"/>
          </w:tcPr>
          <w:p w14:paraId="3184F63D" w14:textId="77777777" w:rsidR="00275C85" w:rsidRDefault="00BA00F2">
            <w:pPr>
              <w:pStyle w:val="TableParagraph"/>
              <w:spacing w:before="1" w:line="24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Concepto</w:t>
            </w:r>
          </w:p>
        </w:tc>
        <w:tc>
          <w:tcPr>
            <w:tcW w:w="1483" w:type="dxa"/>
          </w:tcPr>
          <w:p w14:paraId="54E7497E" w14:textId="77777777" w:rsidR="00275C85" w:rsidRDefault="00BA00F2">
            <w:pPr>
              <w:pStyle w:val="TableParagraph"/>
              <w:spacing w:before="1" w:line="242" w:lineRule="exact"/>
              <w:ind w:left="127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Actual</w:t>
            </w:r>
          </w:p>
        </w:tc>
        <w:tc>
          <w:tcPr>
            <w:tcW w:w="1635" w:type="dxa"/>
          </w:tcPr>
          <w:p w14:paraId="47FB3D9D" w14:textId="77777777" w:rsidR="00275C85" w:rsidRDefault="00BA00F2">
            <w:pPr>
              <w:pStyle w:val="TableParagraph"/>
              <w:spacing w:before="1" w:line="242" w:lineRule="exact"/>
              <w:ind w:left="129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Anterior</w:t>
            </w:r>
          </w:p>
        </w:tc>
      </w:tr>
      <w:tr w:rsidR="00275C85" w14:paraId="7C259E17" w14:textId="77777777">
        <w:trPr>
          <w:trHeight w:val="263"/>
        </w:trPr>
        <w:tc>
          <w:tcPr>
            <w:tcW w:w="5312" w:type="dxa"/>
          </w:tcPr>
          <w:p w14:paraId="63F0A584" w14:textId="77777777" w:rsidR="00275C85" w:rsidRDefault="00BA00F2">
            <w:pPr>
              <w:pStyle w:val="TableParagraph"/>
              <w:spacing w:before="1"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bancos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financieras</w:t>
            </w:r>
          </w:p>
        </w:tc>
        <w:tc>
          <w:tcPr>
            <w:tcW w:w="1483" w:type="dxa"/>
          </w:tcPr>
          <w:p w14:paraId="220A9E8F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0C71931E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C85" w14:paraId="07979037" w14:textId="77777777">
        <w:trPr>
          <w:trHeight w:val="263"/>
        </w:trPr>
        <w:tc>
          <w:tcPr>
            <w:tcW w:w="5312" w:type="dxa"/>
          </w:tcPr>
          <w:p w14:paraId="4A2EE166" w14:textId="77777777" w:rsidR="00275C85" w:rsidRDefault="00BA00F2">
            <w:pPr>
              <w:pStyle w:val="TableParagraph"/>
              <w:spacing w:before="1" w:line="24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Obligaciones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instituciones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públicas</w:t>
            </w:r>
          </w:p>
        </w:tc>
        <w:tc>
          <w:tcPr>
            <w:tcW w:w="1483" w:type="dxa"/>
          </w:tcPr>
          <w:p w14:paraId="0389E871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5CA6D71E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C85" w14:paraId="276A8738" w14:textId="77777777">
        <w:trPr>
          <w:trHeight w:val="263"/>
        </w:trPr>
        <w:tc>
          <w:tcPr>
            <w:tcW w:w="5312" w:type="dxa"/>
          </w:tcPr>
          <w:p w14:paraId="5C843A30" w14:textId="77777777" w:rsidR="00275C85" w:rsidRDefault="00BA00F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Obligaciones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público</w:t>
            </w:r>
          </w:p>
        </w:tc>
        <w:tc>
          <w:tcPr>
            <w:tcW w:w="1483" w:type="dxa"/>
          </w:tcPr>
          <w:p w14:paraId="57B923B8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749C3357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C85" w14:paraId="4AD871AA" w14:textId="77777777">
        <w:trPr>
          <w:trHeight w:val="263"/>
        </w:trPr>
        <w:tc>
          <w:tcPr>
            <w:tcW w:w="5312" w:type="dxa"/>
          </w:tcPr>
          <w:p w14:paraId="3CD23780" w14:textId="77777777" w:rsidR="00275C85" w:rsidRDefault="00BA00F2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Otros</w:t>
            </w:r>
          </w:p>
        </w:tc>
        <w:tc>
          <w:tcPr>
            <w:tcW w:w="1483" w:type="dxa"/>
          </w:tcPr>
          <w:p w14:paraId="67A80044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331F1795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5C85" w14:paraId="27D80527" w14:textId="77777777">
        <w:trPr>
          <w:trHeight w:val="263"/>
        </w:trPr>
        <w:tc>
          <w:tcPr>
            <w:tcW w:w="5312" w:type="dxa"/>
          </w:tcPr>
          <w:p w14:paraId="6C8D6BFC" w14:textId="77777777" w:rsidR="00275C85" w:rsidRDefault="00BA00F2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483" w:type="dxa"/>
          </w:tcPr>
          <w:p w14:paraId="08748B9A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</w:tcPr>
          <w:p w14:paraId="7A1C3988" w14:textId="77777777" w:rsidR="00275C85" w:rsidRDefault="00275C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4A6EA1" w14:textId="77777777" w:rsidR="00275C85" w:rsidRDefault="00275C85">
      <w:pPr>
        <w:pStyle w:val="Textoindependiente"/>
      </w:pPr>
    </w:p>
    <w:p w14:paraId="4E9D9E9B" w14:textId="2CA68236" w:rsidR="004969C3" w:rsidRPr="00BA00F2" w:rsidRDefault="0073048E" w:rsidP="00BA00F2">
      <w:pPr>
        <w:pStyle w:val="Textoindependiente"/>
        <w:spacing w:before="87"/>
        <w:ind w:left="142"/>
      </w:pPr>
      <w:r w:rsidRPr="0073048E">
        <w:rPr>
          <w:b/>
          <w:bCs/>
        </w:rPr>
        <w:t>Cuadro N°3.</w:t>
      </w:r>
      <w:r>
        <w:rPr>
          <w:b/>
          <w:bCs/>
        </w:rPr>
        <w:t xml:space="preserve"> </w:t>
      </w:r>
      <w:r w:rsidRPr="0073048E">
        <w:rPr>
          <w:b/>
          <w:bCs/>
        </w:rPr>
        <w:t xml:space="preserve"> </w:t>
      </w:r>
      <w:r w:rsidR="00BA00F2">
        <w:t>Obligaciones con instituciones privadas y públicas expuesta al riesgo de liquidez</w:t>
      </w:r>
    </w:p>
    <w:p w14:paraId="0FDA7608" w14:textId="77777777" w:rsidR="004969C3" w:rsidRDefault="004969C3" w:rsidP="004969C3">
      <w:pPr>
        <w:pStyle w:val="Textoindependiente"/>
        <w:spacing w:before="32"/>
        <w:ind w:left="142"/>
        <w:rPr>
          <w:b/>
        </w:rPr>
      </w:pPr>
      <w:r w:rsidRPr="009231C9">
        <w:rPr>
          <w:rFonts w:cs="Arial"/>
          <w:szCs w:val="22"/>
          <w:lang w:val="es-CL"/>
        </w:rPr>
        <w:t xml:space="preserve">La composición de los pasivos financieros corrientes y no corrientes expuesta al riesgo de liquidez, no descontados según lo establecido en la Circular N°595 de la </w:t>
      </w:r>
      <w:r>
        <w:rPr>
          <w:rFonts w:cs="Arial"/>
          <w:szCs w:val="22"/>
          <w:lang w:val="es-CL"/>
        </w:rPr>
        <w:t>Comisión para el Mercado Financiero (CMF)</w:t>
      </w:r>
      <w:r w:rsidRPr="009231C9">
        <w:rPr>
          <w:rFonts w:cs="Arial"/>
          <w:szCs w:val="22"/>
          <w:lang w:val="es-CL"/>
        </w:rPr>
        <w:t>, es la siguiente:</w:t>
      </w:r>
    </w:p>
    <w:p w14:paraId="7E121565" w14:textId="59A3AEA9" w:rsidR="00C61AE1" w:rsidRDefault="00C97A62" w:rsidP="00C97A62">
      <w:pPr>
        <w:pStyle w:val="Textoindependiente"/>
        <w:spacing w:before="87"/>
        <w:ind w:left="-426" w:firstLine="568"/>
      </w:pPr>
      <w:r>
        <w:t>Periodo actual</w:t>
      </w:r>
    </w:p>
    <w:p w14:paraId="31A50DEA" w14:textId="18819D13" w:rsidR="00AC6CCF" w:rsidRDefault="00E80BC9" w:rsidP="00E80BC9">
      <w:pPr>
        <w:pStyle w:val="Textoindependiente"/>
        <w:spacing w:before="87"/>
        <w:ind w:left="-426" w:firstLine="568"/>
      </w:pPr>
      <w:r w:rsidRPr="00E80BC9">
        <w:rPr>
          <w:noProof/>
          <w:lang w:val="es-CL" w:eastAsia="es-CL"/>
        </w:rPr>
        <w:drawing>
          <wp:inline distT="0" distB="0" distL="0" distR="0" wp14:anchorId="6D7E6363" wp14:editId="760AD45B">
            <wp:extent cx="5969000" cy="921385"/>
            <wp:effectExtent l="0" t="0" r="0" b="0"/>
            <wp:docPr id="8686527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E6741" w14:textId="5FE1A57E" w:rsidR="00AC6CCF" w:rsidRDefault="00AC6CCF" w:rsidP="00AC6CCF">
      <w:pPr>
        <w:pStyle w:val="Textoindependiente"/>
        <w:spacing w:before="87"/>
        <w:ind w:left="-426" w:firstLine="568"/>
      </w:pPr>
      <w:r>
        <w:t>Periodo anterior</w:t>
      </w:r>
    </w:p>
    <w:p w14:paraId="1A6BF6D7" w14:textId="17BA747C" w:rsidR="00AC6CCF" w:rsidRDefault="00E80BC9" w:rsidP="00AC6CCF">
      <w:pPr>
        <w:pStyle w:val="Textoindependiente"/>
        <w:spacing w:before="87"/>
        <w:ind w:left="-426" w:firstLine="568"/>
      </w:pPr>
      <w:r w:rsidRPr="00E80BC9">
        <w:rPr>
          <w:noProof/>
          <w:lang w:val="es-CL" w:eastAsia="es-CL"/>
        </w:rPr>
        <w:drawing>
          <wp:inline distT="0" distB="0" distL="0" distR="0" wp14:anchorId="39760D89" wp14:editId="58184DDC">
            <wp:extent cx="5939312" cy="916802"/>
            <wp:effectExtent l="0" t="0" r="4445" b="0"/>
            <wp:docPr id="31629577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986" cy="92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18D82" w14:textId="77777777" w:rsidR="00AC6CCF" w:rsidRDefault="00AC6CCF" w:rsidP="00AC6CCF">
      <w:pPr>
        <w:pStyle w:val="Textoindependiente"/>
        <w:spacing w:before="87"/>
      </w:pPr>
    </w:p>
    <w:p w14:paraId="559354B9" w14:textId="77777777" w:rsidR="00ED2162" w:rsidRDefault="00ED2162">
      <w:pPr>
        <w:rPr>
          <w:b/>
          <w:sz w:val="20"/>
          <w:szCs w:val="20"/>
        </w:rPr>
      </w:pPr>
      <w:r>
        <w:rPr>
          <w:b/>
        </w:rPr>
        <w:br w:type="page"/>
      </w:r>
    </w:p>
    <w:p w14:paraId="588C237C" w14:textId="63DAA25A" w:rsidR="00275C85" w:rsidRDefault="00BA00F2" w:rsidP="00C97A62">
      <w:pPr>
        <w:pStyle w:val="Textoindependiente"/>
        <w:ind w:left="118"/>
        <w:rPr>
          <w:rFonts w:cs="Arial"/>
          <w:szCs w:val="22"/>
          <w:lang w:val="es-CL"/>
        </w:rPr>
      </w:pPr>
      <w:r>
        <w:rPr>
          <w:b/>
        </w:rPr>
        <w:lastRenderedPageBreak/>
        <w:t>Cuadro</w:t>
      </w:r>
      <w:r>
        <w:rPr>
          <w:b/>
          <w:spacing w:val="-9"/>
        </w:rPr>
        <w:t xml:space="preserve"> </w:t>
      </w:r>
      <w:r>
        <w:rPr>
          <w:b/>
        </w:rPr>
        <w:t>N°</w:t>
      </w:r>
      <w:r w:rsidR="00C97A62">
        <w:rPr>
          <w:b/>
        </w:rPr>
        <w:t>4</w:t>
      </w:r>
      <w:r>
        <w:rPr>
          <w:b/>
        </w:rPr>
        <w:t>.</w:t>
      </w:r>
      <w:r>
        <w:rPr>
          <w:b/>
          <w:spacing w:val="-8"/>
        </w:rPr>
        <w:t xml:space="preserve"> </w:t>
      </w:r>
      <w:r w:rsidR="00C97A62" w:rsidRPr="009231C9">
        <w:rPr>
          <w:rFonts w:cs="Arial"/>
          <w:szCs w:val="22"/>
          <w:lang w:val="es-CL"/>
        </w:rPr>
        <w:t xml:space="preserve">Obligaciones </w:t>
      </w:r>
      <w:r w:rsidR="0057444E">
        <w:rPr>
          <w:rFonts w:cs="Arial"/>
          <w:szCs w:val="22"/>
          <w:lang w:val="es-CL"/>
        </w:rPr>
        <w:t>con</w:t>
      </w:r>
      <w:r w:rsidR="00C97A62" w:rsidRPr="009231C9">
        <w:rPr>
          <w:rFonts w:cs="Arial"/>
          <w:szCs w:val="22"/>
          <w:lang w:val="es-CL"/>
        </w:rPr>
        <w:t xml:space="preserve"> el público</w:t>
      </w:r>
      <w:r w:rsidR="00C97A62">
        <w:rPr>
          <w:rFonts w:cs="Arial"/>
          <w:szCs w:val="22"/>
          <w:lang w:val="es-CL"/>
        </w:rPr>
        <w:t xml:space="preserve"> </w:t>
      </w:r>
      <w:r w:rsidR="00C97A62" w:rsidRPr="009231C9">
        <w:rPr>
          <w:rFonts w:cs="Arial"/>
          <w:szCs w:val="22"/>
          <w:lang w:val="es-CL"/>
        </w:rPr>
        <w:t>expuestas al riesgo de liquidez</w:t>
      </w:r>
    </w:p>
    <w:p w14:paraId="234B96A2" w14:textId="77777777" w:rsidR="00ED2162" w:rsidRDefault="00ED2162" w:rsidP="00BA00F2">
      <w:pPr>
        <w:pStyle w:val="Textoindependiente"/>
        <w:spacing w:before="32"/>
        <w:ind w:left="142"/>
        <w:rPr>
          <w:rFonts w:cs="Arial"/>
          <w:szCs w:val="22"/>
          <w:lang w:val="es-CL"/>
        </w:rPr>
      </w:pPr>
    </w:p>
    <w:p w14:paraId="1AB317A2" w14:textId="10262AFB" w:rsidR="00BA00F2" w:rsidRDefault="00BA00F2" w:rsidP="00BA00F2">
      <w:pPr>
        <w:pStyle w:val="Textoindependiente"/>
        <w:spacing w:before="32"/>
        <w:ind w:left="142"/>
        <w:rPr>
          <w:b/>
        </w:rPr>
      </w:pPr>
      <w:r w:rsidRPr="009231C9">
        <w:rPr>
          <w:rFonts w:cs="Arial"/>
          <w:szCs w:val="22"/>
          <w:lang w:val="es-CL"/>
        </w:rPr>
        <w:t xml:space="preserve">La composición de los pasivos financieros corrientes y no corrientes expuesta al riesgo de liquidez, no descontados según lo establecido en la Circular N°595 de la </w:t>
      </w:r>
      <w:r>
        <w:rPr>
          <w:rFonts w:cs="Arial"/>
          <w:szCs w:val="22"/>
          <w:lang w:val="es-CL"/>
        </w:rPr>
        <w:t>Comisión para el Mercado Financiero (CMF)</w:t>
      </w:r>
      <w:r w:rsidRPr="009231C9">
        <w:rPr>
          <w:rFonts w:cs="Arial"/>
          <w:szCs w:val="22"/>
          <w:lang w:val="es-CL"/>
        </w:rPr>
        <w:t>, es la siguiente:</w:t>
      </w:r>
    </w:p>
    <w:p w14:paraId="4A7EAE90" w14:textId="77777777" w:rsidR="00C97A62" w:rsidRDefault="00C97A62" w:rsidP="00C97A62">
      <w:pPr>
        <w:pStyle w:val="Textoindependiente"/>
        <w:ind w:left="118"/>
        <w:rPr>
          <w:rFonts w:cs="Arial"/>
          <w:szCs w:val="22"/>
          <w:lang w:val="es-CL"/>
        </w:rPr>
      </w:pPr>
    </w:p>
    <w:p w14:paraId="2AB9AA18" w14:textId="54401DAC" w:rsidR="00C97A62" w:rsidRPr="00C97A62" w:rsidRDefault="00C97A62" w:rsidP="00C97A62">
      <w:pPr>
        <w:pStyle w:val="Textoindependiente"/>
        <w:spacing w:before="87"/>
        <w:ind w:left="-426" w:firstLine="568"/>
      </w:pPr>
      <w:r>
        <w:t>Periodo actual</w:t>
      </w:r>
    </w:p>
    <w:p w14:paraId="50ACF908" w14:textId="3F5AA49D" w:rsidR="00C97A62" w:rsidRDefault="00C97A62" w:rsidP="00C97A62">
      <w:pPr>
        <w:pStyle w:val="Textoindependiente"/>
        <w:ind w:left="118"/>
        <w:rPr>
          <w:rFonts w:cs="Arial"/>
          <w:szCs w:val="22"/>
          <w:lang w:val="es-CL"/>
        </w:rPr>
      </w:pPr>
    </w:p>
    <w:p w14:paraId="737EACB3" w14:textId="73A5A00E" w:rsidR="00C97A62" w:rsidRPr="00C97A62" w:rsidRDefault="002B5F86" w:rsidP="00C97A62">
      <w:pPr>
        <w:pStyle w:val="Textoindependiente"/>
        <w:spacing w:before="87"/>
        <w:ind w:left="-426" w:firstLine="568"/>
      </w:pPr>
      <w:r w:rsidRPr="00E80BC9">
        <w:rPr>
          <w:noProof/>
          <w:lang w:val="es-CL" w:eastAsia="es-CL"/>
        </w:rPr>
        <w:drawing>
          <wp:inline distT="0" distB="0" distL="0" distR="0" wp14:anchorId="43C14275" wp14:editId="57082415">
            <wp:extent cx="6400651" cy="656022"/>
            <wp:effectExtent l="0" t="0" r="635" b="0"/>
            <wp:docPr id="18649685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833" cy="67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3CCE9" w14:textId="77777777" w:rsidR="00ED2162" w:rsidRDefault="00ED2162" w:rsidP="00C97A62">
      <w:pPr>
        <w:pStyle w:val="Textoindependiente"/>
        <w:ind w:left="118"/>
        <w:rPr>
          <w:rFonts w:cs="Arial"/>
          <w:szCs w:val="22"/>
          <w:lang w:val="es-CL"/>
        </w:rPr>
      </w:pPr>
    </w:p>
    <w:p w14:paraId="2E752DE5" w14:textId="582A2502" w:rsidR="00ED2162" w:rsidRDefault="00ED2162" w:rsidP="00C97A62">
      <w:pPr>
        <w:pStyle w:val="Textoindependiente"/>
        <w:ind w:left="118"/>
        <w:rPr>
          <w:rFonts w:cs="Arial"/>
          <w:szCs w:val="22"/>
          <w:lang w:val="es-CL"/>
        </w:rPr>
      </w:pPr>
      <w:r>
        <w:t>Periodo anterior</w:t>
      </w:r>
    </w:p>
    <w:p w14:paraId="092B2B56" w14:textId="77777777" w:rsidR="00ED2162" w:rsidRDefault="00ED2162" w:rsidP="00C97A62">
      <w:pPr>
        <w:pStyle w:val="Textoindependiente"/>
        <w:ind w:left="118"/>
        <w:rPr>
          <w:rFonts w:cs="Arial"/>
          <w:szCs w:val="22"/>
          <w:lang w:val="es-CL"/>
        </w:rPr>
      </w:pPr>
    </w:p>
    <w:p w14:paraId="5DB451DA" w14:textId="606E792A" w:rsidR="00C97A62" w:rsidRDefault="00E80BC9" w:rsidP="00C97A62">
      <w:pPr>
        <w:pStyle w:val="Textoindependiente"/>
        <w:ind w:left="118"/>
        <w:rPr>
          <w:rFonts w:cs="Arial"/>
          <w:szCs w:val="22"/>
          <w:lang w:val="es-CL"/>
        </w:rPr>
      </w:pPr>
      <w:r w:rsidRPr="00E80BC9">
        <w:rPr>
          <w:noProof/>
          <w:lang w:val="es-CL" w:eastAsia="es-CL"/>
        </w:rPr>
        <w:drawing>
          <wp:inline distT="0" distB="0" distL="0" distR="0" wp14:anchorId="5CE60F6D" wp14:editId="4499A9ED">
            <wp:extent cx="6294132" cy="1440716"/>
            <wp:effectExtent l="0" t="0" r="0" b="7620"/>
            <wp:docPr id="78876299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486" cy="1468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CCF01" w14:textId="24DE42A4" w:rsidR="00ED2162" w:rsidRDefault="00ED2162" w:rsidP="00C97A62">
      <w:pPr>
        <w:pStyle w:val="Textoindependiente"/>
        <w:ind w:left="118"/>
        <w:rPr>
          <w:rFonts w:cs="Arial"/>
          <w:szCs w:val="22"/>
          <w:lang w:val="es-CL"/>
        </w:rPr>
      </w:pPr>
    </w:p>
    <w:p w14:paraId="7DAF48EB" w14:textId="488D5A2E" w:rsidR="00ED2162" w:rsidRDefault="00ED2162" w:rsidP="00C97A62">
      <w:pPr>
        <w:pStyle w:val="Textoindependiente"/>
        <w:ind w:left="118"/>
        <w:rPr>
          <w:rFonts w:cs="Arial"/>
          <w:szCs w:val="22"/>
          <w:lang w:val="es-CL"/>
        </w:rPr>
      </w:pPr>
    </w:p>
    <w:p w14:paraId="086CFC6B" w14:textId="0ECFCCEF" w:rsidR="00D81850" w:rsidRDefault="00D81850">
      <w:pPr>
        <w:pStyle w:val="Textoindependiente"/>
        <w:spacing w:before="18"/>
      </w:pPr>
      <w:bookmarkStart w:id="0" w:name="_GoBack"/>
      <w:bookmarkEnd w:id="0"/>
      <w:r>
        <w:t>Consideraciones: Se deberá agregar tantos cuadros como tipos de obligaciones existan, respetando el formato establecido en la mencionada circular.</w:t>
      </w:r>
    </w:p>
    <w:sectPr w:rsidR="00D81850" w:rsidSect="00ED2162">
      <w:headerReference w:type="default" r:id="rId10"/>
      <w:type w:val="continuous"/>
      <w:pgSz w:w="12240" w:h="20160"/>
      <w:pgMar w:top="2329" w:right="1480" w:bottom="1200" w:left="1360" w:header="751" w:footer="10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985C6" w14:textId="77777777" w:rsidR="00217603" w:rsidRDefault="00217603">
      <w:r>
        <w:separator/>
      </w:r>
    </w:p>
  </w:endnote>
  <w:endnote w:type="continuationSeparator" w:id="0">
    <w:p w14:paraId="3DD5CBDB" w14:textId="77777777" w:rsidR="00217603" w:rsidRDefault="0021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2EE8C" w14:textId="77777777" w:rsidR="00217603" w:rsidRDefault="00217603">
      <w:r>
        <w:separator/>
      </w:r>
    </w:p>
  </w:footnote>
  <w:footnote w:type="continuationSeparator" w:id="0">
    <w:p w14:paraId="247231A3" w14:textId="77777777" w:rsidR="00217603" w:rsidRDefault="0021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A6CEC" w14:textId="77777777" w:rsidR="00ED2162" w:rsidRPr="00B14603" w:rsidRDefault="00ED2162" w:rsidP="00ED2162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3E263D81" wp14:editId="5C12583A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C14FFC" w14:textId="77777777" w:rsidR="00ED2162" w:rsidRDefault="00ED2162" w:rsidP="00ED2162">
    <w:pPr>
      <w:jc w:val="right"/>
    </w:pPr>
    <w:r w:rsidRPr="00B14603">
      <w:rPr>
        <w:color w:val="0070C0"/>
        <w:sz w:val="20"/>
        <w:szCs w:val="20"/>
      </w:rPr>
      <w:t>INTENDENCIA DE BENEFICIOS SOCIALES</w:t>
    </w:r>
  </w:p>
  <w:p w14:paraId="0B854387" w14:textId="77777777" w:rsidR="00ED2162" w:rsidRDefault="00ED21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85"/>
    <w:rsid w:val="000E7B81"/>
    <w:rsid w:val="00217603"/>
    <w:rsid w:val="00275C85"/>
    <w:rsid w:val="002B5F86"/>
    <w:rsid w:val="004969C3"/>
    <w:rsid w:val="0057444E"/>
    <w:rsid w:val="0073048E"/>
    <w:rsid w:val="00AC6CCF"/>
    <w:rsid w:val="00B64546"/>
    <w:rsid w:val="00BA00F2"/>
    <w:rsid w:val="00C61AE1"/>
    <w:rsid w:val="00C97A62"/>
    <w:rsid w:val="00D81850"/>
    <w:rsid w:val="00E27034"/>
    <w:rsid w:val="00E6524A"/>
    <w:rsid w:val="00E80BC9"/>
    <w:rsid w:val="00ED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3B519"/>
  <w15:docId w15:val="{05A11017-B1BA-45C1-B53C-E49C9D1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line="245" w:lineRule="exact"/>
      <w:ind w:left="60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D21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216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21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162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JCID</cp:lastModifiedBy>
  <cp:revision>4</cp:revision>
  <dcterms:created xsi:type="dcterms:W3CDTF">2024-11-20T23:16:00Z</dcterms:created>
  <dcterms:modified xsi:type="dcterms:W3CDTF">2024-11-21T20:32:00Z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2016</vt:lpwstr>
  </property>
</Properties>
</file>