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61BC8" w14:textId="77777777" w:rsidR="00C47563" w:rsidRPr="00F40F32" w:rsidRDefault="004C7843" w:rsidP="00C47563">
      <w:pPr>
        <w:jc w:val="center"/>
        <w:rPr>
          <w:b/>
          <w:sz w:val="24"/>
          <w:szCs w:val="24"/>
        </w:rPr>
      </w:pPr>
      <w:r w:rsidRPr="00F40F32">
        <w:rPr>
          <w:b/>
          <w:sz w:val="24"/>
          <w:szCs w:val="24"/>
        </w:rPr>
        <w:t>MINUTA</w:t>
      </w:r>
    </w:p>
    <w:p w14:paraId="67440155" w14:textId="4FA5266A" w:rsidR="00D31B60" w:rsidRPr="00D31B60" w:rsidRDefault="008407D5" w:rsidP="00D31B60">
      <w:pPr>
        <w:tabs>
          <w:tab w:val="left" w:pos="4320"/>
        </w:tabs>
        <w:jc w:val="center"/>
        <w:rPr>
          <w:rFonts w:ascii="Calibri" w:eastAsia="Yu Mincho" w:hAnsi="Calibri" w:cs="Calibri"/>
          <w:b/>
          <w:bCs/>
          <w:sz w:val="36"/>
          <w:szCs w:val="32"/>
        </w:rPr>
      </w:pPr>
      <w:r w:rsidRPr="00F40F32">
        <w:rPr>
          <w:b/>
          <w:sz w:val="24"/>
          <w:szCs w:val="24"/>
        </w:rPr>
        <w:t>PROYECTO DE CIRCULAR</w:t>
      </w:r>
      <w:r w:rsidR="00925F86" w:rsidRPr="00F40F32">
        <w:rPr>
          <w:b/>
          <w:sz w:val="24"/>
          <w:szCs w:val="24"/>
        </w:rPr>
        <w:t xml:space="preserve"> </w:t>
      </w:r>
      <w:r w:rsidR="00D31B60">
        <w:rPr>
          <w:b/>
          <w:sz w:val="24"/>
          <w:szCs w:val="24"/>
        </w:rPr>
        <w:t xml:space="preserve">SOBRE LA </w:t>
      </w:r>
      <w:r w:rsidR="00D31B60" w:rsidRPr="00D31B60">
        <w:rPr>
          <w:b/>
          <w:sz w:val="24"/>
          <w:szCs w:val="24"/>
        </w:rPr>
        <w:t>TASA DE INTERÉS TÉCNICO PARA LA ACTUALIZACIÓN DE LOS PAGOS DE PENSIONES, PARA EFECTOS DE DETERMINAR EL NIVEL DE SUFICIENCIA DE LA RESERVA DE PENSIONES</w:t>
      </w:r>
    </w:p>
    <w:p w14:paraId="68D91190" w14:textId="77777777" w:rsidR="00423BA9" w:rsidRDefault="00423BA9" w:rsidP="00685350">
      <w:pPr>
        <w:spacing w:before="240"/>
        <w:jc w:val="both"/>
      </w:pPr>
    </w:p>
    <w:p w14:paraId="6A83B1DA" w14:textId="43B2FFED" w:rsidR="002B6EAE" w:rsidRDefault="00CB6B38" w:rsidP="00685350">
      <w:pPr>
        <w:spacing w:before="240"/>
        <w:jc w:val="both"/>
      </w:pPr>
      <w:r>
        <w:t>De acuerdo a</w:t>
      </w:r>
      <w:r w:rsidRPr="00CB6B38">
        <w:t xml:space="preserve"> lo señalado en el </w:t>
      </w:r>
      <w:r w:rsidR="009347BE">
        <w:t xml:space="preserve">Libro VII del </w:t>
      </w:r>
      <w:r w:rsidR="009347BE" w:rsidRPr="009347BE">
        <w:t>Compendio de Normas del Seguro Social de Accidentes del Trabajo y Enfermedades Profesionales</w:t>
      </w:r>
      <w:r w:rsidR="009347BE">
        <w:t xml:space="preserve">, </w:t>
      </w:r>
      <w:r w:rsidR="00FA525B">
        <w:t>l</w:t>
      </w:r>
      <w:r w:rsidR="00900F27" w:rsidRPr="00900F27">
        <w:t xml:space="preserve">as mutualidades deben medir e informar periódicamente a la Superintendencia de Seguridad Social </w:t>
      </w:r>
      <w:r w:rsidR="002F0B9E">
        <w:t xml:space="preserve">sobre </w:t>
      </w:r>
      <w:r w:rsidR="00900F27" w:rsidRPr="00900F27">
        <w:t>su exposición al riesgo técnico</w:t>
      </w:r>
      <w:r w:rsidR="00900F27">
        <w:t>.</w:t>
      </w:r>
      <w:r w:rsidR="00FA525B">
        <w:t xml:space="preserve"> Para ello, </w:t>
      </w:r>
      <w:r w:rsidR="00423BA9">
        <w:t xml:space="preserve">la </w:t>
      </w:r>
      <w:r w:rsidR="009347BE">
        <w:t xml:space="preserve">normativa </w:t>
      </w:r>
      <w:r w:rsidR="00D31B60">
        <w:t xml:space="preserve">establece </w:t>
      </w:r>
      <w:r w:rsidR="009347BE">
        <w:t xml:space="preserve">que para </w:t>
      </w:r>
      <w:r w:rsidR="002F0B9E">
        <w:t xml:space="preserve">medir </w:t>
      </w:r>
      <w:r w:rsidR="00FA525B">
        <w:t xml:space="preserve">el </w:t>
      </w:r>
      <w:r w:rsidR="009347BE">
        <w:t xml:space="preserve">riesgo técnico </w:t>
      </w:r>
      <w:r w:rsidR="00423BA9">
        <w:t>a través del indicador de “Suficiencia de Reserva de Pensiones”</w:t>
      </w:r>
      <w:r w:rsidR="009347BE">
        <w:t xml:space="preserve">, </w:t>
      </w:r>
      <w:r w:rsidR="00FA525B">
        <w:t xml:space="preserve">es necesario que </w:t>
      </w:r>
      <w:r w:rsidR="009347BE">
        <w:t xml:space="preserve">los pagos futuros de pensiones </w:t>
      </w:r>
      <w:r w:rsidR="00FA525B">
        <w:t xml:space="preserve">sean actualizados </w:t>
      </w:r>
      <w:r w:rsidR="009347BE" w:rsidRPr="009347BE">
        <w:t>por la variación del IPC definida, según el D.L. N°2.448, de 1978, así como también por la tasa de interés técnico vigente en el mercado</w:t>
      </w:r>
      <w:r w:rsidR="005869A5">
        <w:t xml:space="preserve">. Respecto de esto último, </w:t>
      </w:r>
      <w:r w:rsidR="009347BE">
        <w:t>las instrucciones emanadas desde esta Superintendencia señala</w:t>
      </w:r>
      <w:r w:rsidR="005869A5">
        <w:t>n</w:t>
      </w:r>
      <w:r w:rsidR="009347BE">
        <w:t xml:space="preserve"> que el vector de tasa apropiado para el cálculo de dicha tasa </w:t>
      </w:r>
      <w:r w:rsidR="00423BA9">
        <w:t xml:space="preserve">de interés técnico </w:t>
      </w:r>
      <w:r w:rsidR="009347BE">
        <w:t>correspon</w:t>
      </w:r>
      <w:r w:rsidR="005869A5">
        <w:t>de</w:t>
      </w:r>
      <w:r w:rsidR="009347BE">
        <w:t xml:space="preserve"> al vector de tasa de descuento que mensualmente </w:t>
      </w:r>
      <w:r w:rsidR="009347BE" w:rsidRPr="009347BE">
        <w:t>publica</w:t>
      </w:r>
      <w:r w:rsidR="00FE7CC2">
        <w:t>,</w:t>
      </w:r>
      <w:r w:rsidR="009347BE">
        <w:t xml:space="preserve"> en su sitio web, la </w:t>
      </w:r>
      <w:r w:rsidR="009347BE" w:rsidRPr="009347BE">
        <w:t>Comisión para el Me</w:t>
      </w:r>
      <w:r w:rsidR="009347BE">
        <w:t>rcado Financiero de Chile (CMF)</w:t>
      </w:r>
      <w:r w:rsidR="00FE7CC2">
        <w:t xml:space="preserve">. </w:t>
      </w:r>
      <w:r w:rsidR="005869A5">
        <w:t>Sin embargo, y d</w:t>
      </w:r>
      <w:r w:rsidR="00423BA9">
        <w:t xml:space="preserve">ebido </w:t>
      </w:r>
      <w:r w:rsidR="005869A5">
        <w:t xml:space="preserve">a </w:t>
      </w:r>
      <w:r w:rsidR="00423BA9">
        <w:t xml:space="preserve">que </w:t>
      </w:r>
      <w:r w:rsidR="009347BE">
        <w:t xml:space="preserve">a partir de enero de 2021, </w:t>
      </w:r>
      <w:r w:rsidR="00FE7CC2">
        <w:t xml:space="preserve">dicho vector de tasas </w:t>
      </w:r>
      <w:r w:rsidR="009347BE">
        <w:t>dejó de estar disponible de manera pública</w:t>
      </w:r>
      <w:r w:rsidR="005869A5">
        <w:t xml:space="preserve"> para los interesados</w:t>
      </w:r>
      <w:r w:rsidR="009347BE">
        <w:t xml:space="preserve">, </w:t>
      </w:r>
      <w:r w:rsidR="00FE7CC2">
        <w:t>l</w:t>
      </w:r>
      <w:r w:rsidR="009347BE">
        <w:t xml:space="preserve">a </w:t>
      </w:r>
      <w:r w:rsidR="00685350" w:rsidRPr="00E86FFC">
        <w:t>Super</w:t>
      </w:r>
      <w:r w:rsidR="008407D5">
        <w:t>intendencia</w:t>
      </w:r>
      <w:r w:rsidR="008A39D8">
        <w:t xml:space="preserve"> de Seguridad Social</w:t>
      </w:r>
      <w:r w:rsidR="008407D5">
        <w:t xml:space="preserve"> </w:t>
      </w:r>
      <w:r w:rsidR="00685350" w:rsidRPr="00E86FFC">
        <w:t xml:space="preserve">ha estimado pertinente </w:t>
      </w:r>
      <w:r w:rsidR="009347BE">
        <w:t xml:space="preserve">modificar la fuente de información que permite encontrar una tasa representativa de mercado </w:t>
      </w:r>
      <w:r w:rsidR="00FE7CC2">
        <w:t xml:space="preserve">para ser utilizada en el </w:t>
      </w:r>
      <w:r w:rsidR="009347BE">
        <w:t xml:space="preserve">cálculo del indicador de “Suficiencia de Reserva de Pensiones”, </w:t>
      </w:r>
      <w:r w:rsidR="00FE7CC2">
        <w:t>p</w:t>
      </w:r>
      <w:r w:rsidR="005869A5">
        <w:t xml:space="preserve">or lo que el nuevo vector de tasas referencial </w:t>
      </w:r>
      <w:r w:rsidR="00FE7CC2">
        <w:t>para las mutualidades será aqu</w:t>
      </w:r>
      <w:r w:rsidR="00FC455C">
        <w:t>e</w:t>
      </w:r>
      <w:r w:rsidR="00FE7CC2">
        <w:t xml:space="preserve">l vector </w:t>
      </w:r>
      <w:r w:rsidR="005869A5">
        <w:t>de tasas libre</w:t>
      </w:r>
      <w:r w:rsidR="00E43BCF">
        <w:t>s</w:t>
      </w:r>
      <w:r w:rsidR="005869A5">
        <w:t xml:space="preserve"> de riesgo </w:t>
      </w:r>
      <w:r w:rsidR="00FE7CC2">
        <w:t>conocido como “Curva Cero Real”, el cual es publicado trimestralmente por la Superintendencia de Pensiones</w:t>
      </w:r>
      <w:r w:rsidR="005869A5">
        <w:t>, en su sitio web,</w:t>
      </w:r>
      <w:r w:rsidR="00FE7CC2">
        <w:t xml:space="preserve"> para los efectos del</w:t>
      </w:r>
      <w:r w:rsidR="00FE7CC2" w:rsidRPr="00FE7CC2">
        <w:t xml:space="preserve"> cálculo y recálculo de los retiros programados y rentas temporales (TERP)</w:t>
      </w:r>
      <w:r w:rsidR="00FE7CC2">
        <w:t xml:space="preserve">, según lo señalado en </w:t>
      </w:r>
      <w:r w:rsidR="00FE7CC2" w:rsidRPr="00FE7CC2">
        <w:t>el inciso cuarto del artículo 64 del D.L. N°3.500 de 1980</w:t>
      </w:r>
      <w:r w:rsidR="00FE7CC2">
        <w:t>,</w:t>
      </w:r>
      <w:r w:rsidR="00FE7CC2" w:rsidRPr="00FE7CC2">
        <w:t xml:space="preserve"> y en los artículos sexto</w:t>
      </w:r>
      <w:r w:rsidR="00FE7CC2">
        <w:t xml:space="preserve"> y séptimo del D.S. N°</w:t>
      </w:r>
      <w:r w:rsidR="00FE7CC2" w:rsidRPr="00FE7CC2">
        <w:t>47, de 2019, de los Ministerios de Hacienda y del Trabajo y Previsión Social</w:t>
      </w:r>
      <w:r w:rsidR="00FE7CC2">
        <w:t>.</w:t>
      </w:r>
    </w:p>
    <w:p w14:paraId="594AF1A7" w14:textId="0F21B120" w:rsidR="00844386" w:rsidRDefault="00925F86" w:rsidP="00925F86">
      <w:pPr>
        <w:spacing w:before="240"/>
        <w:jc w:val="both"/>
      </w:pPr>
      <w:r>
        <w:t>Finalmente</w:t>
      </w:r>
      <w:r w:rsidR="001D01D3">
        <w:t xml:space="preserve">, </w:t>
      </w:r>
      <w:r w:rsidR="003E73F9">
        <w:t>se modifica el plazo de envío de la</w:t>
      </w:r>
      <w:r w:rsidR="007D49E6">
        <w:t xml:space="preserve"> información referida al </w:t>
      </w:r>
      <w:r w:rsidR="00F260C0">
        <w:t xml:space="preserve">indicador de “Suficiencia de Reserva de Pensiones”, </w:t>
      </w:r>
      <w:r w:rsidR="003E73F9">
        <w:t>contenido en</w:t>
      </w:r>
      <w:r w:rsidR="00F260C0">
        <w:t xml:space="preserve"> el </w:t>
      </w:r>
      <w:r w:rsidR="001D01D3">
        <w:t>Anexo N°</w:t>
      </w:r>
      <w:r w:rsidR="00F260C0">
        <w:t>31</w:t>
      </w:r>
      <w:r w:rsidR="001D01D3">
        <w:t xml:space="preserve">, </w:t>
      </w:r>
      <w:r w:rsidR="00C747A7">
        <w:t>de la Letra C,</w:t>
      </w:r>
      <w:r w:rsidR="001D01D3">
        <w:t xml:space="preserve"> Título II, del Libro IX </w:t>
      </w:r>
      <w:r w:rsidR="001D01D3" w:rsidRPr="00E86FFC">
        <w:t>del Compendio</w:t>
      </w:r>
      <w:r w:rsidR="001D01D3">
        <w:t xml:space="preserve"> </w:t>
      </w:r>
      <w:r w:rsidR="00C747A7">
        <w:t>N</w:t>
      </w:r>
      <w:r w:rsidR="001D01D3">
        <w:t>ormativo</w:t>
      </w:r>
      <w:r w:rsidR="00C747A7">
        <w:t xml:space="preserve"> del Seguro de la Ley N°16.744</w:t>
      </w:r>
      <w:r w:rsidR="00844386">
        <w:t>.</w:t>
      </w:r>
    </w:p>
    <w:p w14:paraId="2B257E5E" w14:textId="77777777" w:rsidR="00844386" w:rsidRDefault="00844386" w:rsidP="00925F86">
      <w:pPr>
        <w:spacing w:before="240"/>
        <w:jc w:val="both"/>
      </w:pPr>
    </w:p>
    <w:p w14:paraId="586DA8CD" w14:textId="77777777" w:rsidR="00844386" w:rsidRDefault="00844386" w:rsidP="00925F86">
      <w:pPr>
        <w:spacing w:before="240"/>
        <w:jc w:val="both"/>
        <w:sectPr w:rsidR="00844386" w:rsidSect="00B13B24">
          <w:headerReference w:type="default" r:id="rId7"/>
          <w:pgSz w:w="12240" w:h="15840"/>
          <w:pgMar w:top="851" w:right="1701" w:bottom="851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CD4C1C" w14:paraId="2BAE6CC3" w14:textId="77777777" w:rsidTr="00CD4C1C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359" w14:textId="27592273" w:rsidR="00CD4C1C" w:rsidRPr="00CD4C1C" w:rsidRDefault="00CD4C1C" w:rsidP="00CD4C1C">
            <w:pPr>
              <w:widowControl w:val="0"/>
              <w:tabs>
                <w:tab w:val="left" w:pos="4320"/>
              </w:tabs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</w:t>
            </w:r>
            <w:r w:rsidRPr="00F40F32">
              <w:rPr>
                <w:b/>
                <w:sz w:val="24"/>
                <w:szCs w:val="24"/>
              </w:rPr>
              <w:t xml:space="preserve">PROYECTO DE CIRCULAR </w:t>
            </w:r>
            <w:r w:rsidR="00194441">
              <w:rPr>
                <w:b/>
                <w:sz w:val="24"/>
                <w:szCs w:val="24"/>
              </w:rPr>
              <w:t xml:space="preserve">SOBRE LA </w:t>
            </w:r>
            <w:r w:rsidR="00194441" w:rsidRPr="00D31B60">
              <w:rPr>
                <w:rFonts w:eastAsiaTheme="minorEastAsia"/>
                <w:b/>
                <w:sz w:val="24"/>
                <w:szCs w:val="24"/>
                <w:lang w:eastAsia="es-CL"/>
              </w:rPr>
              <w:t>TASA DE INTERÉS TÉCNICO PARA LA ACTUALIZACIÓN DE LOS PAGOS DE PENSIONES, PARA EFECTOS DE DETERMINAR EL NIVEL DE SUFICIENCIA DE LA RESERVA DE PENSIONES</w:t>
            </w:r>
          </w:p>
        </w:tc>
      </w:tr>
      <w:tr w:rsidR="00CD4C1C" w14:paraId="4FE311D1" w14:textId="77777777" w:rsidTr="00CD4C1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D8F4DDB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DAAB34F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8ADB4FD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B053F34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35679F1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3790FA67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CD4C1C" w14:paraId="3E43AB82" w14:textId="77777777" w:rsidTr="00CD4C1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4F1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3DA8F79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A57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D17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BAE5" w14:textId="77777777" w:rsidR="00CD4C1C" w:rsidRDefault="00CD4C1C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E3B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CD4C1C" w14:paraId="36B5FB38" w14:textId="77777777" w:rsidTr="00CD4C1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E68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000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022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3EA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080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8FCF5D5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B6FC339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9A1292F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CD4C1C" w14:paraId="39F008A3" w14:textId="77777777" w:rsidTr="00CD4C1C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2A8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387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C7B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2DBE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A72" w14:textId="77777777" w:rsidR="00CD4C1C" w:rsidRDefault="00CD4C1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882B28" w14:textId="77777777" w:rsidR="00CD4C1C" w:rsidRDefault="00CD4C1C" w:rsidP="00CD4C1C">
      <w:pPr>
        <w:tabs>
          <w:tab w:val="left" w:pos="4821"/>
        </w:tabs>
        <w:rPr>
          <w:lang w:eastAsia="en-US"/>
        </w:rPr>
      </w:pPr>
    </w:p>
    <w:p w14:paraId="2AEC847C" w14:textId="77777777" w:rsidR="00C47563" w:rsidRDefault="00C47563" w:rsidP="00925F86">
      <w:pPr>
        <w:spacing w:before="240"/>
        <w:jc w:val="both"/>
      </w:pPr>
    </w:p>
    <w:sectPr w:rsidR="00C47563" w:rsidSect="00CD4C1C">
      <w:pgSz w:w="15840" w:h="12240" w:orient="landscape"/>
      <w:pgMar w:top="1701" w:right="851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8BD6" w14:textId="77777777" w:rsidR="00252D17" w:rsidRDefault="00252D17" w:rsidP="00E82957">
      <w:pPr>
        <w:spacing w:after="0" w:line="240" w:lineRule="auto"/>
      </w:pPr>
      <w:r>
        <w:separator/>
      </w:r>
    </w:p>
  </w:endnote>
  <w:endnote w:type="continuationSeparator" w:id="0">
    <w:p w14:paraId="4D03FDD8" w14:textId="77777777" w:rsidR="00252D17" w:rsidRDefault="00252D17" w:rsidP="00E8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884F" w14:textId="77777777" w:rsidR="00252D17" w:rsidRDefault="00252D17" w:rsidP="00E82957">
      <w:pPr>
        <w:spacing w:after="0" w:line="240" w:lineRule="auto"/>
      </w:pPr>
      <w:r>
        <w:separator/>
      </w:r>
    </w:p>
  </w:footnote>
  <w:footnote w:type="continuationSeparator" w:id="0">
    <w:p w14:paraId="4A8E7D6D" w14:textId="77777777" w:rsidR="00252D17" w:rsidRDefault="00252D17" w:rsidP="00E8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F079" w14:textId="77777777" w:rsidR="00E82957" w:rsidRDefault="00E82957" w:rsidP="00E8295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78E57F0B" wp14:editId="1747CB00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2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Superintendencia de Seguridad Social</w:t>
    </w:r>
  </w:p>
  <w:p w14:paraId="7E5408E0" w14:textId="77777777" w:rsidR="00E82957" w:rsidRDefault="00E82957" w:rsidP="00E8295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28080DB4" w14:textId="77777777" w:rsidR="00E82957" w:rsidRDefault="00E829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63"/>
    <w:rsid w:val="0000744D"/>
    <w:rsid w:val="00057A54"/>
    <w:rsid w:val="000B0F6F"/>
    <w:rsid w:val="000C29B9"/>
    <w:rsid w:val="000E332B"/>
    <w:rsid w:val="00115113"/>
    <w:rsid w:val="0012126C"/>
    <w:rsid w:val="00155AFD"/>
    <w:rsid w:val="00164C93"/>
    <w:rsid w:val="00194441"/>
    <w:rsid w:val="001B234D"/>
    <w:rsid w:val="001D01D3"/>
    <w:rsid w:val="001F579A"/>
    <w:rsid w:val="00224BC1"/>
    <w:rsid w:val="00252D17"/>
    <w:rsid w:val="00264968"/>
    <w:rsid w:val="002B2168"/>
    <w:rsid w:val="002B6EAE"/>
    <w:rsid w:val="002D539C"/>
    <w:rsid w:val="002E59FD"/>
    <w:rsid w:val="002F0B9E"/>
    <w:rsid w:val="003459CC"/>
    <w:rsid w:val="00362F62"/>
    <w:rsid w:val="00364BE3"/>
    <w:rsid w:val="00396E88"/>
    <w:rsid w:val="003C4748"/>
    <w:rsid w:val="003E73F9"/>
    <w:rsid w:val="003F4BF7"/>
    <w:rsid w:val="00401104"/>
    <w:rsid w:val="00423BA9"/>
    <w:rsid w:val="00431DE3"/>
    <w:rsid w:val="00452B20"/>
    <w:rsid w:val="004C7843"/>
    <w:rsid w:val="004F56A4"/>
    <w:rsid w:val="00547E8F"/>
    <w:rsid w:val="00563A68"/>
    <w:rsid w:val="00582B75"/>
    <w:rsid w:val="005869A5"/>
    <w:rsid w:val="005913E7"/>
    <w:rsid w:val="005C4B3A"/>
    <w:rsid w:val="00622452"/>
    <w:rsid w:val="00622F71"/>
    <w:rsid w:val="006456D2"/>
    <w:rsid w:val="0065681D"/>
    <w:rsid w:val="00664E36"/>
    <w:rsid w:val="00685350"/>
    <w:rsid w:val="006C0F16"/>
    <w:rsid w:val="006F4762"/>
    <w:rsid w:val="00701EBD"/>
    <w:rsid w:val="00747225"/>
    <w:rsid w:val="00755055"/>
    <w:rsid w:val="00785141"/>
    <w:rsid w:val="007A51B3"/>
    <w:rsid w:val="007A74FB"/>
    <w:rsid w:val="007B7788"/>
    <w:rsid w:val="007C1F49"/>
    <w:rsid w:val="007D49E6"/>
    <w:rsid w:val="00832262"/>
    <w:rsid w:val="008407D5"/>
    <w:rsid w:val="00844386"/>
    <w:rsid w:val="00877DDF"/>
    <w:rsid w:val="008A39D8"/>
    <w:rsid w:val="008C1E0F"/>
    <w:rsid w:val="00900F27"/>
    <w:rsid w:val="00905ED3"/>
    <w:rsid w:val="009062AE"/>
    <w:rsid w:val="00921E76"/>
    <w:rsid w:val="00925F86"/>
    <w:rsid w:val="009347BE"/>
    <w:rsid w:val="00974280"/>
    <w:rsid w:val="009B3D33"/>
    <w:rsid w:val="009C1C25"/>
    <w:rsid w:val="009C7676"/>
    <w:rsid w:val="009D2994"/>
    <w:rsid w:val="00A05898"/>
    <w:rsid w:val="00A22356"/>
    <w:rsid w:val="00A422A1"/>
    <w:rsid w:val="00A5493F"/>
    <w:rsid w:val="00AB14B6"/>
    <w:rsid w:val="00AB75D2"/>
    <w:rsid w:val="00AD5D51"/>
    <w:rsid w:val="00B13B24"/>
    <w:rsid w:val="00B26A5A"/>
    <w:rsid w:val="00B2731B"/>
    <w:rsid w:val="00B41F60"/>
    <w:rsid w:val="00B7479A"/>
    <w:rsid w:val="00B84050"/>
    <w:rsid w:val="00BC42B7"/>
    <w:rsid w:val="00BD30FB"/>
    <w:rsid w:val="00C11F60"/>
    <w:rsid w:val="00C27CB5"/>
    <w:rsid w:val="00C40992"/>
    <w:rsid w:val="00C47563"/>
    <w:rsid w:val="00C659EE"/>
    <w:rsid w:val="00C7242C"/>
    <w:rsid w:val="00C747A7"/>
    <w:rsid w:val="00C90AF4"/>
    <w:rsid w:val="00C90B7A"/>
    <w:rsid w:val="00CB1075"/>
    <w:rsid w:val="00CB6B38"/>
    <w:rsid w:val="00CB719B"/>
    <w:rsid w:val="00CD4C1C"/>
    <w:rsid w:val="00CE0992"/>
    <w:rsid w:val="00D1167D"/>
    <w:rsid w:val="00D30FDD"/>
    <w:rsid w:val="00D31B60"/>
    <w:rsid w:val="00D33014"/>
    <w:rsid w:val="00D90942"/>
    <w:rsid w:val="00D95872"/>
    <w:rsid w:val="00D95CA9"/>
    <w:rsid w:val="00DA675D"/>
    <w:rsid w:val="00DC7FE8"/>
    <w:rsid w:val="00DD1341"/>
    <w:rsid w:val="00DD31D2"/>
    <w:rsid w:val="00E24DCF"/>
    <w:rsid w:val="00E3271A"/>
    <w:rsid w:val="00E401B3"/>
    <w:rsid w:val="00E43BCF"/>
    <w:rsid w:val="00E44DEC"/>
    <w:rsid w:val="00E55851"/>
    <w:rsid w:val="00E61658"/>
    <w:rsid w:val="00E82957"/>
    <w:rsid w:val="00EE4254"/>
    <w:rsid w:val="00EF590D"/>
    <w:rsid w:val="00F260C0"/>
    <w:rsid w:val="00F40F32"/>
    <w:rsid w:val="00FA525B"/>
    <w:rsid w:val="00FB3F67"/>
    <w:rsid w:val="00FC455C"/>
    <w:rsid w:val="00FE09B5"/>
    <w:rsid w:val="00FE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CC54"/>
  <w15:docId w15:val="{9BE0552F-A3E9-4729-BF8F-F8AD8BAF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6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62"/>
    <w:rPr>
      <w:rFonts w:ascii="Tahoma" w:hAnsi="Tahoma" w:cs="Tahoma"/>
      <w:sz w:val="16"/>
      <w:szCs w:val="16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8407D5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8407D5"/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A67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CD4C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31B6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82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2957"/>
  </w:style>
  <w:style w:type="paragraph" w:styleId="Piedepgina">
    <w:name w:val="footer"/>
    <w:basedOn w:val="Normal"/>
    <w:link w:val="PiedepginaCar"/>
    <w:uiPriority w:val="99"/>
    <w:unhideWhenUsed/>
    <w:rsid w:val="00E82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957"/>
  </w:style>
  <w:style w:type="paragraph" w:customStyle="1" w:styleId="HeaderEven">
    <w:name w:val="Header Even"/>
    <w:basedOn w:val="Sinespaciado"/>
    <w:qFormat/>
    <w:rsid w:val="00E82957"/>
    <w:pPr>
      <w:pBdr>
        <w:bottom w:val="single" w:sz="4" w:space="1" w:color="4F81BD" w:themeColor="accent1"/>
      </w:pBdr>
    </w:pPr>
    <w:rPr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E82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9B51C-A41F-46A5-AC72-FCC5E6B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</dc:creator>
  <cp:lastModifiedBy>Depto Regulación</cp:lastModifiedBy>
  <cp:revision>4</cp:revision>
  <cp:lastPrinted>2019-10-02T20:22:00Z</cp:lastPrinted>
  <dcterms:created xsi:type="dcterms:W3CDTF">2022-09-07T00:31:00Z</dcterms:created>
  <dcterms:modified xsi:type="dcterms:W3CDTF">2022-09-07T23:13:00Z</dcterms:modified>
</cp:coreProperties>
</file>