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DFD3B" w14:textId="77777777" w:rsidR="00952D86" w:rsidRDefault="00952D86" w:rsidP="00A6335B">
      <w:pPr>
        <w:jc w:val="center"/>
        <w:rPr>
          <w:b/>
          <w:lang w:val="es-ES"/>
        </w:rPr>
      </w:pPr>
    </w:p>
    <w:p w14:paraId="2CCFB786" w14:textId="259122BA" w:rsidR="009148A8" w:rsidRDefault="00A6335B" w:rsidP="00A6335B">
      <w:pPr>
        <w:jc w:val="center"/>
        <w:rPr>
          <w:b/>
          <w:lang w:val="es-ES"/>
        </w:rPr>
      </w:pPr>
      <w:r>
        <w:rPr>
          <w:b/>
          <w:lang w:val="es-ES"/>
        </w:rPr>
        <w:t>MINUTA</w:t>
      </w:r>
    </w:p>
    <w:p w14:paraId="37C04794" w14:textId="6D9E11B1" w:rsidR="00A6335B" w:rsidRDefault="00A6335B" w:rsidP="00A6335B">
      <w:pPr>
        <w:jc w:val="center"/>
        <w:rPr>
          <w:b/>
          <w:lang w:val="es-ES"/>
        </w:rPr>
      </w:pPr>
      <w:r>
        <w:rPr>
          <w:b/>
          <w:lang w:val="es-ES"/>
        </w:rPr>
        <w:t xml:space="preserve">PROTOCOLO DE CALIFICACIÓN DE ENFERMEDADES </w:t>
      </w:r>
      <w:r w:rsidR="0044317F">
        <w:rPr>
          <w:b/>
          <w:lang w:val="es-ES"/>
        </w:rPr>
        <w:t>MUSCULOESQUELÉTICAS</w:t>
      </w:r>
    </w:p>
    <w:p w14:paraId="6686BF92" w14:textId="77777777" w:rsidR="00A6335B" w:rsidRDefault="00A6335B" w:rsidP="00A6335B">
      <w:pPr>
        <w:jc w:val="center"/>
        <w:rPr>
          <w:b/>
          <w:lang w:val="es-ES"/>
        </w:rPr>
      </w:pPr>
    </w:p>
    <w:p w14:paraId="3F61DD20" w14:textId="2846610E" w:rsidR="00A6335B" w:rsidRDefault="00920F11" w:rsidP="00403808">
      <w:pPr>
        <w:jc w:val="both"/>
        <w:rPr>
          <w:lang w:val="es-ES"/>
        </w:rPr>
      </w:pPr>
      <w:r>
        <w:rPr>
          <w:lang w:val="es-ES"/>
        </w:rPr>
        <w:t xml:space="preserve">Esta Superintendencia </w:t>
      </w:r>
      <w:r w:rsidR="009A6D25">
        <w:rPr>
          <w:lang w:val="es-ES"/>
        </w:rPr>
        <w:t xml:space="preserve">ha determinado necesario </w:t>
      </w:r>
      <w:r w:rsidR="00A6335B">
        <w:rPr>
          <w:lang w:val="es-ES"/>
        </w:rPr>
        <w:t xml:space="preserve">modificar </w:t>
      </w:r>
      <w:r w:rsidR="009A6D25">
        <w:rPr>
          <w:lang w:val="es-ES"/>
        </w:rPr>
        <w:t>la Letra B</w:t>
      </w:r>
      <w:r w:rsidR="00D267A4">
        <w:rPr>
          <w:lang w:val="es-ES"/>
        </w:rPr>
        <w:t>. Protocolo de patologías músculo esqueléticas de extremidad superior (MEES)</w:t>
      </w:r>
      <w:r w:rsidR="009A6D25">
        <w:rPr>
          <w:lang w:val="es-ES"/>
        </w:rPr>
        <w:t>, del Título III</w:t>
      </w:r>
      <w:r w:rsidR="00D267A4">
        <w:rPr>
          <w:lang w:val="es-ES"/>
        </w:rPr>
        <w:t xml:space="preserve">. </w:t>
      </w:r>
      <w:r w:rsidR="00D267A4" w:rsidRPr="00D267A4">
        <w:rPr>
          <w:lang w:val="es-ES"/>
        </w:rPr>
        <w:t>Calificación de enfermedades profesionales</w:t>
      </w:r>
      <w:r w:rsidR="00D267A4">
        <w:rPr>
          <w:lang w:val="es-ES"/>
        </w:rPr>
        <w:t>,</w:t>
      </w:r>
      <w:r w:rsidR="009A6D25">
        <w:rPr>
          <w:lang w:val="es-ES"/>
        </w:rPr>
        <w:t xml:space="preserve"> del Libro III del Compendio de Normas del Seguro de la Ley N°16.744, con la finalidad de </w:t>
      </w:r>
      <w:r w:rsidR="00611D7C">
        <w:rPr>
          <w:lang w:val="es-ES"/>
        </w:rPr>
        <w:t xml:space="preserve">incorporar instrucciones para la calificación de </w:t>
      </w:r>
      <w:r w:rsidR="009A6D25">
        <w:rPr>
          <w:lang w:val="es-ES"/>
        </w:rPr>
        <w:t>enfermedades musculoesqueléticas</w:t>
      </w:r>
      <w:r w:rsidR="00E13EAF">
        <w:rPr>
          <w:lang w:val="es-ES"/>
        </w:rPr>
        <w:t xml:space="preserve"> de otros segmentos</w:t>
      </w:r>
      <w:r w:rsidR="00611D7C">
        <w:rPr>
          <w:lang w:val="es-ES"/>
        </w:rPr>
        <w:t xml:space="preserve"> corporales,</w:t>
      </w:r>
      <w:r w:rsidR="00A6335B">
        <w:rPr>
          <w:lang w:val="es-ES"/>
        </w:rPr>
        <w:t xml:space="preserve"> </w:t>
      </w:r>
      <w:r w:rsidR="00611D7C">
        <w:rPr>
          <w:lang w:val="es-ES"/>
        </w:rPr>
        <w:t xml:space="preserve">incluyendo </w:t>
      </w:r>
      <w:r w:rsidR="00A6335B">
        <w:rPr>
          <w:lang w:val="es-ES"/>
        </w:rPr>
        <w:t xml:space="preserve">en esta </w:t>
      </w:r>
      <w:r w:rsidR="00403808">
        <w:rPr>
          <w:lang w:val="es-ES"/>
        </w:rPr>
        <w:t xml:space="preserve">oprtunidad </w:t>
      </w:r>
      <w:r w:rsidR="00611D7C">
        <w:rPr>
          <w:lang w:val="es-ES"/>
        </w:rPr>
        <w:t>e</w:t>
      </w:r>
      <w:r w:rsidR="00A6335B">
        <w:rPr>
          <w:lang w:val="es-ES"/>
        </w:rPr>
        <w:t>l segmento columna cervical</w:t>
      </w:r>
      <w:r w:rsidR="00D267A4">
        <w:rPr>
          <w:lang w:val="es-ES"/>
        </w:rPr>
        <w:t xml:space="preserve">. Lo anterior, </w:t>
      </w:r>
      <w:r w:rsidR="00403808">
        <w:rPr>
          <w:lang w:val="es-ES"/>
        </w:rPr>
        <w:t xml:space="preserve"> </w:t>
      </w:r>
      <w:r w:rsidR="00D267A4">
        <w:rPr>
          <w:lang w:val="es-ES"/>
        </w:rPr>
        <w:t>considerando</w:t>
      </w:r>
      <w:r w:rsidR="00403808">
        <w:rPr>
          <w:lang w:val="es-ES"/>
        </w:rPr>
        <w:t xml:space="preserve"> que en </w:t>
      </w:r>
      <w:r w:rsidR="00A6335B">
        <w:rPr>
          <w:lang w:val="es-ES"/>
        </w:rPr>
        <w:t xml:space="preserve">el levantamiento de información </w:t>
      </w:r>
      <w:r w:rsidR="00403808">
        <w:rPr>
          <w:lang w:val="es-ES"/>
        </w:rPr>
        <w:t xml:space="preserve">de riesgos </w:t>
      </w:r>
      <w:r w:rsidR="00A6335B">
        <w:rPr>
          <w:lang w:val="es-ES"/>
        </w:rPr>
        <w:t>en el sector portuario</w:t>
      </w:r>
      <w:r w:rsidR="00403808">
        <w:rPr>
          <w:lang w:val="es-ES"/>
        </w:rPr>
        <w:t>,</w:t>
      </w:r>
      <w:r w:rsidR="00A6335B">
        <w:rPr>
          <w:lang w:val="es-ES"/>
        </w:rPr>
        <w:t xml:space="preserve"> para la confección de </w:t>
      </w:r>
      <w:r w:rsidR="00D267A4">
        <w:rPr>
          <w:lang w:val="es-ES"/>
        </w:rPr>
        <w:t>la</w:t>
      </w:r>
      <w:r w:rsidR="00A6335B">
        <w:rPr>
          <w:lang w:val="es-ES"/>
        </w:rPr>
        <w:t xml:space="preserve"> Guía de Aplicación </w:t>
      </w:r>
      <w:r w:rsidR="008D5C82">
        <w:rPr>
          <w:lang w:val="es-ES"/>
        </w:rPr>
        <w:t xml:space="preserve">del </w:t>
      </w:r>
      <w:r w:rsidR="00A6335B">
        <w:rPr>
          <w:lang w:val="es-ES"/>
        </w:rPr>
        <w:t>EPT</w:t>
      </w:r>
      <w:r w:rsidR="008D5C82">
        <w:rPr>
          <w:lang w:val="es-ES"/>
        </w:rPr>
        <w:t xml:space="preserve"> en enfermedades m</w:t>
      </w:r>
      <w:r w:rsidR="00A6335B">
        <w:rPr>
          <w:lang w:val="es-ES"/>
        </w:rPr>
        <w:t>usculoesquelétic</w:t>
      </w:r>
      <w:r w:rsidR="008D5C82">
        <w:rPr>
          <w:lang w:val="es-ES"/>
        </w:rPr>
        <w:t>as</w:t>
      </w:r>
      <w:r w:rsidR="00A6335B">
        <w:rPr>
          <w:lang w:val="es-ES"/>
        </w:rPr>
        <w:t>, se pudo observar que la cervicalgia es un problema de salud altamente prevalente entre los trabajadores</w:t>
      </w:r>
      <w:r w:rsidR="00403808">
        <w:rPr>
          <w:lang w:val="es-ES"/>
        </w:rPr>
        <w:t xml:space="preserve"> de este sector</w:t>
      </w:r>
      <w:r w:rsidR="00A6335B">
        <w:rPr>
          <w:lang w:val="es-ES"/>
        </w:rPr>
        <w:t xml:space="preserve"> y que, analizadas las condiciones de trabajo, se explica por la exposición a factores de riesgo ocupacional.</w:t>
      </w:r>
    </w:p>
    <w:p w14:paraId="6890A883" w14:textId="2F061A32" w:rsidR="009978DA" w:rsidRDefault="009978DA" w:rsidP="00A6335B">
      <w:pPr>
        <w:jc w:val="both"/>
        <w:rPr>
          <w:lang w:val="es-ES"/>
        </w:rPr>
      </w:pPr>
      <w:r>
        <w:rPr>
          <w:lang w:val="es-ES"/>
        </w:rPr>
        <w:t>L</w:t>
      </w:r>
      <w:r w:rsidR="00403808">
        <w:rPr>
          <w:lang w:val="es-ES"/>
        </w:rPr>
        <w:t xml:space="preserve">as principales modificación que se realizan </w:t>
      </w:r>
      <w:r>
        <w:rPr>
          <w:lang w:val="es-ES"/>
        </w:rPr>
        <w:t xml:space="preserve">en la Letra B del Título III, del Libro III,  son: </w:t>
      </w:r>
    </w:p>
    <w:p w14:paraId="35861EF1" w14:textId="297E3F96" w:rsidR="009978DA" w:rsidRPr="009978DA" w:rsidRDefault="009978DA" w:rsidP="00952D86">
      <w:pPr>
        <w:pStyle w:val="Prrafodelista"/>
        <w:numPr>
          <w:ilvl w:val="0"/>
          <w:numId w:val="1"/>
        </w:numPr>
        <w:spacing w:after="0"/>
        <w:ind w:left="284" w:hanging="284"/>
        <w:contextualSpacing w:val="0"/>
        <w:jc w:val="both"/>
        <w:rPr>
          <w:lang w:val="es-ES"/>
        </w:rPr>
      </w:pPr>
      <w:r w:rsidRPr="009978DA">
        <w:rPr>
          <w:lang w:val="es-ES"/>
        </w:rPr>
        <w:t xml:space="preserve">Se cambia el título de esta letra, por “Protocolo de </w:t>
      </w:r>
      <w:r w:rsidR="009870B4">
        <w:rPr>
          <w:lang w:val="es-ES"/>
        </w:rPr>
        <w:t>c</w:t>
      </w:r>
      <w:r w:rsidRPr="009978DA">
        <w:rPr>
          <w:lang w:val="es-ES"/>
        </w:rPr>
        <w:t xml:space="preserve">alificación de </w:t>
      </w:r>
      <w:r w:rsidR="009870B4">
        <w:rPr>
          <w:lang w:val="es-ES"/>
        </w:rPr>
        <w:t>e</w:t>
      </w:r>
      <w:r w:rsidRPr="009978DA">
        <w:rPr>
          <w:lang w:val="es-ES"/>
        </w:rPr>
        <w:t xml:space="preserve">nfermedades </w:t>
      </w:r>
      <w:r w:rsidR="009870B4">
        <w:rPr>
          <w:lang w:val="es-ES"/>
        </w:rPr>
        <w:t>m</w:t>
      </w:r>
      <w:r w:rsidRPr="009978DA">
        <w:rPr>
          <w:lang w:val="es-ES"/>
        </w:rPr>
        <w:t>usculoesqueléticas”.</w:t>
      </w:r>
    </w:p>
    <w:p w14:paraId="25332454" w14:textId="4CEA7DCC" w:rsidR="00FC09BD" w:rsidRPr="00C50BD6" w:rsidRDefault="009978DA" w:rsidP="00952D86">
      <w:pPr>
        <w:pStyle w:val="Prrafodelista"/>
        <w:numPr>
          <w:ilvl w:val="0"/>
          <w:numId w:val="1"/>
        </w:numPr>
        <w:spacing w:after="0"/>
        <w:ind w:left="284" w:hanging="284"/>
        <w:contextualSpacing w:val="0"/>
        <w:jc w:val="both"/>
        <w:rPr>
          <w:lang w:val="es-ES"/>
        </w:rPr>
      </w:pPr>
      <w:r w:rsidRPr="0010408B">
        <w:rPr>
          <w:lang w:val="es-ES"/>
        </w:rPr>
        <w:t>Se incluye entre los diagnósticos</w:t>
      </w:r>
      <w:r w:rsidR="00C50BD6" w:rsidRPr="0010408B">
        <w:rPr>
          <w:lang w:val="es-ES"/>
        </w:rPr>
        <w:t>,</w:t>
      </w:r>
      <w:r w:rsidRPr="0010408B">
        <w:rPr>
          <w:lang w:val="es-ES"/>
        </w:rPr>
        <w:t xml:space="preserve"> </w:t>
      </w:r>
      <w:r w:rsidRPr="00C50BD6">
        <w:rPr>
          <w:lang w:val="es-ES"/>
        </w:rPr>
        <w:t>e</w:t>
      </w:r>
      <w:r w:rsidR="00A6335B" w:rsidRPr="00C50BD6">
        <w:rPr>
          <w:lang w:val="es-ES"/>
        </w:rPr>
        <w:t xml:space="preserve">l Síndrome de Tensión Cervical, </w:t>
      </w:r>
      <w:r w:rsidR="00C50BD6" w:rsidRPr="00C50BD6">
        <w:rPr>
          <w:lang w:val="es-ES"/>
        </w:rPr>
        <w:t>dado que</w:t>
      </w:r>
      <w:r w:rsidR="00A6335B" w:rsidRPr="00C50BD6">
        <w:rPr>
          <w:lang w:val="es-ES"/>
        </w:rPr>
        <w:t xml:space="preserve"> existe evidencia </w:t>
      </w:r>
      <w:r w:rsidR="00C50BD6" w:rsidRPr="00C50BD6">
        <w:rPr>
          <w:lang w:val="es-ES"/>
        </w:rPr>
        <w:t>de su relación directa</w:t>
      </w:r>
      <w:r w:rsidR="00A6335B" w:rsidRPr="00C50BD6">
        <w:rPr>
          <w:lang w:val="es-ES"/>
        </w:rPr>
        <w:t xml:space="preserve"> con factores de riesgo laborales</w:t>
      </w:r>
      <w:r w:rsidR="00C50BD6">
        <w:rPr>
          <w:lang w:val="es-ES"/>
        </w:rPr>
        <w:t>, con el c</w:t>
      </w:r>
      <w:r w:rsidR="00E5098C" w:rsidRPr="00C50BD6">
        <w:rPr>
          <w:lang w:val="es-ES"/>
        </w:rPr>
        <w:t xml:space="preserve">ódigo CIE-10 M54.2 Cervicalgia, </w:t>
      </w:r>
      <w:r w:rsidR="00C50BD6">
        <w:rPr>
          <w:lang w:val="es-ES"/>
        </w:rPr>
        <w:t xml:space="preserve">que </w:t>
      </w:r>
      <w:r w:rsidR="00E5098C" w:rsidRPr="00C50BD6">
        <w:rPr>
          <w:lang w:val="es-ES"/>
        </w:rPr>
        <w:t>excluye</w:t>
      </w:r>
      <w:r w:rsidR="00C50BD6">
        <w:rPr>
          <w:lang w:val="es-ES"/>
        </w:rPr>
        <w:t xml:space="preserve"> las</w:t>
      </w:r>
      <w:r w:rsidR="00E5098C" w:rsidRPr="00C50BD6">
        <w:rPr>
          <w:lang w:val="es-ES"/>
        </w:rPr>
        <w:t xml:space="preserve"> patologías debidas a trastorno del disco intervertebral cervical (M50), </w:t>
      </w:r>
      <w:r w:rsidR="00C50BD6">
        <w:rPr>
          <w:lang w:val="es-ES"/>
        </w:rPr>
        <w:t>ya que</w:t>
      </w:r>
      <w:r w:rsidR="00E5098C" w:rsidRPr="00C50BD6">
        <w:rPr>
          <w:lang w:val="es-ES"/>
        </w:rPr>
        <w:t xml:space="preserve"> no existe evidencia suficiente </w:t>
      </w:r>
      <w:r w:rsidR="00C50BD6">
        <w:rPr>
          <w:lang w:val="es-ES"/>
        </w:rPr>
        <w:t xml:space="preserve">sobre la relación directa </w:t>
      </w:r>
      <w:r w:rsidR="00A46943">
        <w:rPr>
          <w:lang w:val="es-ES"/>
        </w:rPr>
        <w:t xml:space="preserve">con el trabajo </w:t>
      </w:r>
      <w:r w:rsidR="00C50BD6">
        <w:rPr>
          <w:lang w:val="es-ES"/>
        </w:rPr>
        <w:t>de</w:t>
      </w:r>
      <w:r w:rsidR="00E5098C" w:rsidRPr="00C50BD6">
        <w:rPr>
          <w:lang w:val="es-ES"/>
        </w:rPr>
        <w:t xml:space="preserve"> las patologías degenerativas y discopatías cervicales</w:t>
      </w:r>
      <w:r w:rsidR="009870B4">
        <w:rPr>
          <w:lang w:val="es-ES"/>
        </w:rPr>
        <w:t>, de acuerdo con</w:t>
      </w:r>
      <w:r w:rsidR="009870B4" w:rsidRPr="00C50BD6">
        <w:rPr>
          <w:lang w:val="es-ES"/>
        </w:rPr>
        <w:t xml:space="preserve"> la revisión bibliográfica</w:t>
      </w:r>
      <w:r w:rsidR="009870B4">
        <w:rPr>
          <w:lang w:val="es-ES"/>
        </w:rPr>
        <w:t xml:space="preserve"> en la materia.</w:t>
      </w:r>
    </w:p>
    <w:p w14:paraId="49F913F1" w14:textId="079C091A" w:rsidR="00E03247" w:rsidRDefault="00C50BD6" w:rsidP="00952D86">
      <w:pPr>
        <w:pStyle w:val="Prrafodelista"/>
        <w:numPr>
          <w:ilvl w:val="0"/>
          <w:numId w:val="1"/>
        </w:numPr>
        <w:spacing w:after="0"/>
        <w:ind w:left="284" w:hanging="284"/>
        <w:jc w:val="both"/>
        <w:rPr>
          <w:lang w:val="es-ES"/>
        </w:rPr>
      </w:pPr>
      <w:r w:rsidRPr="00FC09BD">
        <w:rPr>
          <w:lang w:val="es-ES"/>
        </w:rPr>
        <w:t>En la e</w:t>
      </w:r>
      <w:r w:rsidR="00E5098C" w:rsidRPr="0010408B">
        <w:rPr>
          <w:lang w:val="es-ES"/>
        </w:rPr>
        <w:t>valuación médica inicial</w:t>
      </w:r>
      <w:r w:rsidR="00FC09BD">
        <w:rPr>
          <w:lang w:val="es-ES"/>
        </w:rPr>
        <w:t>:</w:t>
      </w:r>
      <w:r w:rsidRPr="00FC09BD">
        <w:rPr>
          <w:lang w:val="es-ES"/>
        </w:rPr>
        <w:t xml:space="preserve"> </w:t>
      </w:r>
      <w:r w:rsidR="0074600B">
        <w:rPr>
          <w:lang w:val="es-ES"/>
        </w:rPr>
        <w:t>El síndrome de tensión cervical es un cuadro estrictamente clínico, la correlación clínico – imagenológica es pobre; por ello, se omite como examen obligatorio algún estudio radiológico. En caso de sospechar un compromiso neurológico (origen común), el diagnóstico diferencial debe ser confirmado por un especialista, pues es frecuente que un médico general confunda el síndrome de tensión cervical con la cervicobraquialgia. Dado que el compromiso neurológico es un trastorno poco frecuente, no habría un impacto significativo en el proceso.</w:t>
      </w:r>
    </w:p>
    <w:p w14:paraId="1FFEAC0C" w14:textId="195CFED2" w:rsidR="00E03247" w:rsidRPr="00E03247" w:rsidRDefault="0074600B" w:rsidP="00952D86">
      <w:pPr>
        <w:pStyle w:val="Prrafodelista"/>
        <w:numPr>
          <w:ilvl w:val="0"/>
          <w:numId w:val="1"/>
        </w:numPr>
        <w:spacing w:after="0"/>
        <w:ind w:left="284" w:hanging="284"/>
        <w:jc w:val="both"/>
        <w:rPr>
          <w:lang w:val="es-ES"/>
        </w:rPr>
      </w:pPr>
      <w:r w:rsidRPr="00E03247">
        <w:rPr>
          <w:lang w:val="es-ES"/>
        </w:rPr>
        <w:t>Evaluación de condiciones de trabajo</w:t>
      </w:r>
      <w:r w:rsidR="00FC09BD" w:rsidRPr="00E03247">
        <w:rPr>
          <w:lang w:val="es-ES"/>
        </w:rPr>
        <w:t xml:space="preserve">: </w:t>
      </w:r>
      <w:r w:rsidR="004842BA">
        <w:rPr>
          <w:lang w:val="es-ES"/>
        </w:rPr>
        <w:t xml:space="preserve">se modifica el anexo N°14 incorporando </w:t>
      </w:r>
      <w:r w:rsidR="008E0B22">
        <w:rPr>
          <w:lang w:val="es-ES"/>
        </w:rPr>
        <w:t>el</w:t>
      </w:r>
      <w:r w:rsidR="00FC09BD" w:rsidRPr="00FC09BD">
        <w:rPr>
          <w:lang w:val="es-ES"/>
        </w:rPr>
        <w:t xml:space="preserve"> </w:t>
      </w:r>
      <w:r w:rsidRPr="00FC09BD">
        <w:rPr>
          <w:lang w:val="es-ES"/>
        </w:rPr>
        <w:t>Estudio de Puesto de Trabajo de</w:t>
      </w:r>
      <w:r w:rsidR="00FC09BD" w:rsidRPr="00FC09BD">
        <w:rPr>
          <w:lang w:val="es-ES"/>
        </w:rPr>
        <w:t xml:space="preserve"> patología de</w:t>
      </w:r>
      <w:r w:rsidRPr="00FC09BD">
        <w:rPr>
          <w:lang w:val="es-ES"/>
        </w:rPr>
        <w:t xml:space="preserve"> Columna Cervical (EPT Cervical)</w:t>
      </w:r>
      <w:r w:rsidR="008E0B22">
        <w:rPr>
          <w:lang w:val="es-ES"/>
        </w:rPr>
        <w:t xml:space="preserve">, cuyo </w:t>
      </w:r>
      <w:r w:rsidRPr="00FC09BD">
        <w:rPr>
          <w:lang w:val="es-ES"/>
        </w:rPr>
        <w:t xml:space="preserve">formato </w:t>
      </w:r>
      <w:r w:rsidR="008E0B22">
        <w:rPr>
          <w:lang w:val="es-ES"/>
        </w:rPr>
        <w:t xml:space="preserve">es el mismo </w:t>
      </w:r>
      <w:r w:rsidR="00FC09BD" w:rsidRPr="00FC09BD">
        <w:rPr>
          <w:lang w:val="es-ES"/>
        </w:rPr>
        <w:t xml:space="preserve">que </w:t>
      </w:r>
      <w:r w:rsidR="008E0B22">
        <w:rPr>
          <w:lang w:val="es-ES"/>
        </w:rPr>
        <w:t xml:space="preserve">el </w:t>
      </w:r>
      <w:r w:rsidR="00FC09BD" w:rsidRPr="00FC09BD">
        <w:rPr>
          <w:lang w:val="es-ES"/>
        </w:rPr>
        <w:t xml:space="preserve">se utiliza </w:t>
      </w:r>
      <w:r w:rsidRPr="00FC09BD">
        <w:rPr>
          <w:lang w:val="es-ES"/>
        </w:rPr>
        <w:t xml:space="preserve">para enfermedades de miembro superior, </w:t>
      </w:r>
      <w:r w:rsidR="008E0B22">
        <w:rPr>
          <w:lang w:val="es-ES"/>
        </w:rPr>
        <w:t>para</w:t>
      </w:r>
      <w:r w:rsidRPr="00FC09BD">
        <w:rPr>
          <w:lang w:val="es-ES"/>
        </w:rPr>
        <w:t xml:space="preserve"> Macrolabor</w:t>
      </w:r>
      <w:r w:rsidR="008E0B22">
        <w:rPr>
          <w:lang w:val="es-ES"/>
        </w:rPr>
        <w:t>es</w:t>
      </w:r>
      <w:r w:rsidR="00E03247">
        <w:rPr>
          <w:lang w:val="es-ES"/>
        </w:rPr>
        <w:t>, y</w:t>
      </w:r>
      <w:r w:rsidR="00FC09BD">
        <w:rPr>
          <w:lang w:val="es-ES"/>
        </w:rPr>
        <w:t xml:space="preserve"> l</w:t>
      </w:r>
      <w:r w:rsidRPr="00FC09BD">
        <w:rPr>
          <w:lang w:val="es-ES"/>
        </w:rPr>
        <w:t xml:space="preserve">os factores de riesgo a evaluar </w:t>
      </w:r>
      <w:r w:rsidR="00E03247">
        <w:rPr>
          <w:lang w:val="es-ES"/>
        </w:rPr>
        <w:t>corresponden a</w:t>
      </w:r>
      <w:r w:rsidRPr="00FC09BD">
        <w:rPr>
          <w:lang w:val="es-ES"/>
        </w:rPr>
        <w:t>: extensión de cuello, flexión de cuello, rotación de cuello, inclinación de cuello, abducción de hombro sobre 60° sin apoyo, postura mantenida y movimientos repetitivos</w:t>
      </w:r>
      <w:r w:rsidR="00FC09BD">
        <w:rPr>
          <w:lang w:val="es-ES"/>
        </w:rPr>
        <w:t xml:space="preserve">, </w:t>
      </w:r>
      <w:r w:rsidR="00E03247">
        <w:rPr>
          <w:lang w:val="es-ES"/>
        </w:rPr>
        <w:t xml:space="preserve">siendo </w:t>
      </w:r>
      <w:r w:rsidR="00FC09BD">
        <w:rPr>
          <w:lang w:val="es-ES"/>
        </w:rPr>
        <w:t>l</w:t>
      </w:r>
      <w:r w:rsidRPr="00FC09BD">
        <w:rPr>
          <w:lang w:val="es-ES"/>
        </w:rPr>
        <w:t>os factores asociados</w:t>
      </w:r>
      <w:r w:rsidR="00E03247">
        <w:rPr>
          <w:lang w:val="es-ES"/>
        </w:rPr>
        <w:t>, la</w:t>
      </w:r>
      <w:r w:rsidRPr="00FC09BD">
        <w:rPr>
          <w:lang w:val="es-ES"/>
        </w:rPr>
        <w:t xml:space="preserve"> exposición a vibración, factores psicosociales, trabajo en decúbito supino o prono, trabajo en ambiente frío y movimientos bruscos de cuello.</w:t>
      </w:r>
    </w:p>
    <w:p w14:paraId="7FEF1315" w14:textId="033E6F0B" w:rsidR="00E03247" w:rsidRPr="00952D86" w:rsidRDefault="0074600B" w:rsidP="0010408B">
      <w:pPr>
        <w:pStyle w:val="Prrafodelista"/>
        <w:numPr>
          <w:ilvl w:val="0"/>
          <w:numId w:val="1"/>
        </w:numPr>
        <w:spacing w:after="0"/>
        <w:ind w:left="284" w:hanging="284"/>
        <w:jc w:val="both"/>
        <w:rPr>
          <w:lang w:val="es-ES"/>
        </w:rPr>
      </w:pPr>
      <w:r w:rsidRPr="00952D86">
        <w:rPr>
          <w:lang w:val="es-ES"/>
        </w:rPr>
        <w:t>Evaluadores</w:t>
      </w:r>
      <w:r w:rsidR="00E03247" w:rsidRPr="00952D86">
        <w:rPr>
          <w:lang w:val="es-ES"/>
        </w:rPr>
        <w:t>: Para</w:t>
      </w:r>
      <w:r w:rsidRPr="00952D86">
        <w:rPr>
          <w:lang w:val="es-ES"/>
        </w:rPr>
        <w:t xml:space="preserve"> la evaluación médica inicial como en la aplicación del EPT Cervical, los evaluadores deben contar con una capacitación, la cual será la misma ya instruida para enfermedades musculoesqueléticas de miembro superior, incorporando los tópicos específicos </w:t>
      </w:r>
      <w:r w:rsidR="00E03247" w:rsidRPr="00952D86">
        <w:rPr>
          <w:lang w:val="es-ES"/>
        </w:rPr>
        <w:t>para la evaluación del Síndrome de Tensión Cervical</w:t>
      </w:r>
      <w:r w:rsidRPr="00952D86">
        <w:rPr>
          <w:lang w:val="es-ES"/>
        </w:rPr>
        <w:t xml:space="preserve">. </w:t>
      </w:r>
    </w:p>
    <w:p w14:paraId="3FD7E27B" w14:textId="540BA7F7" w:rsidR="00F5017A" w:rsidRDefault="00F5017A" w:rsidP="0010408B">
      <w:pPr>
        <w:pStyle w:val="Prrafodelista"/>
        <w:numPr>
          <w:ilvl w:val="0"/>
          <w:numId w:val="1"/>
        </w:numPr>
        <w:ind w:left="284" w:hanging="284"/>
        <w:jc w:val="both"/>
        <w:rPr>
          <w:lang w:val="es-ES"/>
        </w:rPr>
      </w:pPr>
      <w:r w:rsidRPr="0010408B">
        <w:rPr>
          <w:lang w:val="es-ES"/>
        </w:rPr>
        <w:lastRenderedPageBreak/>
        <w:t>Calificación</w:t>
      </w:r>
      <w:r w:rsidR="00E03247">
        <w:rPr>
          <w:lang w:val="es-ES"/>
        </w:rPr>
        <w:t xml:space="preserve">: </w:t>
      </w:r>
      <w:r w:rsidRPr="00E03247">
        <w:rPr>
          <w:lang w:val="es-ES"/>
        </w:rPr>
        <w:t xml:space="preserve">Debe ser realizado por </w:t>
      </w:r>
      <w:r w:rsidR="00E03247">
        <w:rPr>
          <w:lang w:val="es-ES"/>
        </w:rPr>
        <w:t>el</w:t>
      </w:r>
      <w:r w:rsidRPr="00E03247">
        <w:rPr>
          <w:lang w:val="es-ES"/>
        </w:rPr>
        <w:t xml:space="preserve"> comité de calificación, con las mismas características y competencias establecidas en el </w:t>
      </w:r>
      <w:r w:rsidR="00E03247">
        <w:rPr>
          <w:lang w:val="es-ES"/>
        </w:rPr>
        <w:t>p</w:t>
      </w:r>
      <w:r w:rsidRPr="00E03247">
        <w:rPr>
          <w:lang w:val="es-ES"/>
        </w:rPr>
        <w:t xml:space="preserve">rotocolo de </w:t>
      </w:r>
      <w:r w:rsidR="00E03247">
        <w:rPr>
          <w:lang w:val="es-ES"/>
        </w:rPr>
        <w:t>c</w:t>
      </w:r>
      <w:r w:rsidRPr="00E03247">
        <w:rPr>
          <w:lang w:val="es-ES"/>
        </w:rPr>
        <w:t xml:space="preserve">alificación de </w:t>
      </w:r>
      <w:r w:rsidR="00E03247" w:rsidRPr="00E03247">
        <w:rPr>
          <w:lang w:val="es-ES"/>
        </w:rPr>
        <w:t>enfermedades musculoesqueléticas de miembro superior.</w:t>
      </w:r>
      <w:r w:rsidR="00E03247">
        <w:rPr>
          <w:lang w:val="es-ES"/>
        </w:rPr>
        <w:t xml:space="preserve"> </w:t>
      </w:r>
      <w:r w:rsidR="008D5C82">
        <w:rPr>
          <w:lang w:val="es-ES"/>
        </w:rPr>
        <w:t xml:space="preserve">En caso de no evidenciarse riesgos en la evaluación, </w:t>
      </w:r>
      <w:r w:rsidR="008D5C82" w:rsidRPr="008D5C82">
        <w:rPr>
          <w:lang w:val="es-ES"/>
        </w:rPr>
        <w:t>el médico del trabajo podrá aplicar el proceso de calificación abreviada.</w:t>
      </w:r>
      <w:r w:rsidR="008D5C82">
        <w:rPr>
          <w:lang w:val="es-ES"/>
        </w:rPr>
        <w:t xml:space="preserve"> </w:t>
      </w:r>
      <w:r w:rsidR="008E0B22">
        <w:rPr>
          <w:lang w:val="es-ES"/>
        </w:rPr>
        <w:t>Se incluye</w:t>
      </w:r>
      <w:r w:rsidR="004842BA">
        <w:rPr>
          <w:lang w:val="es-ES"/>
        </w:rPr>
        <w:t xml:space="preserve"> anexo con</w:t>
      </w:r>
      <w:r w:rsidR="008E0B22">
        <w:rPr>
          <w:lang w:val="es-ES"/>
        </w:rPr>
        <w:t xml:space="preserve"> </w:t>
      </w:r>
      <w:r w:rsidRPr="00E03247">
        <w:rPr>
          <w:lang w:val="es-ES"/>
        </w:rPr>
        <w:t>los criterios de calificación y un instrumento para su aplicación, el cual tiene validación externa (Ministerio de Salud e Instituto de Salud Pública).</w:t>
      </w:r>
    </w:p>
    <w:p w14:paraId="2C410DD2" w14:textId="56BBF373" w:rsidR="00952D86" w:rsidRPr="00952D86" w:rsidRDefault="00952D86" w:rsidP="00952D86">
      <w:pPr>
        <w:rPr>
          <w:lang w:val="es-ES"/>
        </w:rPr>
      </w:pPr>
    </w:p>
    <w:p w14:paraId="03776B88" w14:textId="1764F156" w:rsidR="00952D86" w:rsidRDefault="00952D86" w:rsidP="00952D86">
      <w:pPr>
        <w:rPr>
          <w:lang w:val="es-ES"/>
        </w:rPr>
      </w:pPr>
    </w:p>
    <w:p w14:paraId="6C4BE8A1" w14:textId="77777777" w:rsidR="00952D86" w:rsidRDefault="00952D86" w:rsidP="00952D86">
      <w:pPr>
        <w:spacing w:before="120" w:after="120"/>
        <w:jc w:val="both"/>
        <w:rPr>
          <w:lang w:val="es-ES"/>
        </w:rPr>
      </w:pPr>
    </w:p>
    <w:p w14:paraId="13C2BDD0" w14:textId="3F02DFAE" w:rsidR="00952D86" w:rsidRDefault="00952D86" w:rsidP="00952D86">
      <w:pPr>
        <w:spacing w:before="120" w:after="120"/>
        <w:jc w:val="both"/>
        <w:rPr>
          <w:lang w:val="es-ES"/>
        </w:rPr>
      </w:pPr>
      <w:r>
        <w:rPr>
          <w:lang w:val="es-ES"/>
        </w:rPr>
        <w:t xml:space="preserve">Para efectuar comentarios al presente proyecto de circular, se solicita enviar el archivo que se adjunta a continuación, al correo electrónico </w:t>
      </w:r>
      <w:hyperlink r:id="rId7" w:history="1">
        <w:r w:rsidRPr="00411FFE">
          <w:rPr>
            <w:rStyle w:val="Hipervnculo"/>
            <w:lang w:val="es-ES"/>
          </w:rPr>
          <w:t>isesa</w:t>
        </w:r>
        <w:r w:rsidRPr="00411FFE">
          <w:rPr>
            <w:rStyle w:val="Hipervnculo"/>
          </w:rPr>
          <w:t>t</w:t>
        </w:r>
        <w:r w:rsidRPr="00411FFE">
          <w:rPr>
            <w:rStyle w:val="Hipervnculo"/>
            <w:lang w:val="es-ES"/>
          </w:rPr>
          <w:t>@suseso.cl</w:t>
        </w:r>
      </w:hyperlink>
      <w:r>
        <w:rPr>
          <w:lang w:val="es-ES"/>
        </w:rPr>
        <w:t>.</w:t>
      </w:r>
    </w:p>
    <w:p w14:paraId="30F89228" w14:textId="77777777" w:rsidR="00952D86" w:rsidRDefault="00952D86" w:rsidP="00952D86">
      <w:pPr>
        <w:tabs>
          <w:tab w:val="left" w:pos="1346"/>
        </w:tabs>
        <w:rPr>
          <w:rFonts w:ascii="Calibri" w:eastAsia="Times New Roman" w:hAnsi="Calibri" w:cs="Times New Roman"/>
          <w:bCs/>
          <w:color w:val="000000"/>
          <w:lang w:eastAsia="es-CL"/>
        </w:rPr>
      </w:pPr>
    </w:p>
    <w:p w14:paraId="7611D7CF" w14:textId="77777777" w:rsidR="00952D86" w:rsidRDefault="00952D86" w:rsidP="00952D86">
      <w:pPr>
        <w:tabs>
          <w:tab w:val="left" w:pos="1346"/>
        </w:tabs>
        <w:rPr>
          <w:rFonts w:ascii="Calibri" w:eastAsia="Times New Roman" w:hAnsi="Calibri" w:cs="Times New Roman"/>
          <w:lang w:eastAsia="es-CL"/>
        </w:rPr>
        <w:sectPr w:rsidR="00952D86" w:rsidSect="00CD1257">
          <w:headerReference w:type="default" r:id="rId8"/>
          <w:pgSz w:w="12240" w:h="15840" w:code="1"/>
          <w:pgMar w:top="1418" w:right="1701" w:bottom="1418" w:left="1701" w:header="709" w:footer="709" w:gutter="0"/>
          <w:cols w:space="708"/>
          <w:docGrid w:linePitch="360"/>
        </w:sectPr>
      </w:pPr>
      <w:r>
        <w:rPr>
          <w:rFonts w:ascii="Calibri" w:eastAsia="Times New Roman" w:hAnsi="Calibri" w:cs="Times New Roman"/>
          <w:lang w:eastAsia="es-CL"/>
        </w:rPr>
        <w:tab/>
      </w:r>
    </w:p>
    <w:p w14:paraId="1DFE95F8" w14:textId="77777777" w:rsidR="00952D86" w:rsidRDefault="00952D86" w:rsidP="00952D86">
      <w:pPr>
        <w:spacing w:after="0"/>
        <w:jc w:val="both"/>
        <w:textAlignment w:val="baseline"/>
        <w:rPr>
          <w:rFonts w:ascii="Calibri" w:eastAsia="Times New Roman" w:hAnsi="Calibri" w:cs="Times New Roman"/>
          <w:bCs/>
          <w:color w:val="000000"/>
          <w:lang w:eastAsia="es-CL"/>
        </w:rPr>
      </w:pPr>
    </w:p>
    <w:tbl>
      <w:tblPr>
        <w:tblStyle w:val="Tablaconcuadrcula"/>
        <w:tblW w:w="13887" w:type="dxa"/>
        <w:jc w:val="center"/>
        <w:tblInd w:w="0" w:type="dxa"/>
        <w:tblLook w:val="04A0" w:firstRow="1" w:lastRow="0" w:firstColumn="1" w:lastColumn="0" w:noHBand="0" w:noVBand="1"/>
      </w:tblPr>
      <w:tblGrid>
        <w:gridCol w:w="2241"/>
        <w:gridCol w:w="1721"/>
        <w:gridCol w:w="2564"/>
        <w:gridCol w:w="4951"/>
        <w:gridCol w:w="2410"/>
      </w:tblGrid>
      <w:tr w:rsidR="00952D86" w14:paraId="0F08F7AE" w14:textId="77777777" w:rsidTr="001E6351">
        <w:trPr>
          <w:jc w:val="center"/>
        </w:trPr>
        <w:tc>
          <w:tcPr>
            <w:tcW w:w="13887" w:type="dxa"/>
            <w:gridSpan w:val="5"/>
            <w:tcBorders>
              <w:top w:val="single" w:sz="4" w:space="0" w:color="auto"/>
              <w:left w:val="single" w:sz="4" w:space="0" w:color="auto"/>
              <w:bottom w:val="single" w:sz="4" w:space="0" w:color="auto"/>
              <w:right w:val="single" w:sz="4" w:space="0" w:color="auto"/>
            </w:tcBorders>
          </w:tcPr>
          <w:p w14:paraId="44E69091" w14:textId="77777777" w:rsidR="00952D86" w:rsidRDefault="00952D86" w:rsidP="00952D86">
            <w:pPr>
              <w:pStyle w:val="Default"/>
              <w:rPr>
                <w:rFonts w:cstheme="minorHAnsi"/>
                <w:b/>
                <w:bCs/>
              </w:rPr>
            </w:pPr>
          </w:p>
          <w:p w14:paraId="1E813424" w14:textId="1AFC4647" w:rsidR="00952D86" w:rsidRDefault="00952D86" w:rsidP="006A4459">
            <w:pPr>
              <w:pStyle w:val="Default"/>
              <w:jc w:val="center"/>
              <w:rPr>
                <w:rFonts w:cstheme="minorHAnsi"/>
                <w:b/>
                <w:bCs/>
              </w:rPr>
            </w:pPr>
            <w:r w:rsidRPr="00312166">
              <w:rPr>
                <w:rFonts w:cstheme="minorHAnsi"/>
                <w:b/>
                <w:bCs/>
              </w:rPr>
              <w:t xml:space="preserve">OBSERVACIONES AL PROYECTO DE CIRCULAR </w:t>
            </w:r>
            <w:r w:rsidRPr="00952D86">
              <w:rPr>
                <w:rFonts w:cstheme="minorHAnsi"/>
                <w:b/>
                <w:bCs/>
              </w:rPr>
              <w:t>PROTOCOLO DE CALIFICACIÓN DE ENFERMEDADES M</w:t>
            </w:r>
            <w:r w:rsidR="0044317F">
              <w:rPr>
                <w:rFonts w:cstheme="minorHAnsi"/>
                <w:b/>
                <w:bCs/>
              </w:rPr>
              <w:t>U</w:t>
            </w:r>
            <w:r w:rsidRPr="00952D86">
              <w:rPr>
                <w:rFonts w:cstheme="minorHAnsi"/>
                <w:b/>
                <w:bCs/>
              </w:rPr>
              <w:t>SCULOESQUELÉTICAS</w:t>
            </w:r>
          </w:p>
          <w:p w14:paraId="4ACBFF2B" w14:textId="6DD84FFB" w:rsidR="00952D86" w:rsidRPr="00CD1257" w:rsidRDefault="00952D86" w:rsidP="00952D86">
            <w:pPr>
              <w:pStyle w:val="Default"/>
              <w:rPr>
                <w:rFonts w:cstheme="minorHAnsi"/>
                <w:b/>
                <w:sz w:val="28"/>
                <w:szCs w:val="28"/>
              </w:rPr>
            </w:pPr>
          </w:p>
        </w:tc>
      </w:tr>
      <w:tr w:rsidR="00952D86" w14:paraId="0C168CD5" w14:textId="77777777" w:rsidTr="001E6351">
        <w:trPr>
          <w:jc w:val="center"/>
        </w:trPr>
        <w:tc>
          <w:tcPr>
            <w:tcW w:w="2241"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661286A1" w14:textId="77777777" w:rsidR="00952D86" w:rsidRDefault="00952D86" w:rsidP="001E6351">
            <w:pPr>
              <w:jc w:val="both"/>
              <w:textAlignment w:val="baseline"/>
              <w:rPr>
                <w:rFonts w:ascii="Calibri" w:eastAsia="Times New Roman" w:hAnsi="Calibri" w:cs="Times New Roman"/>
                <w:bCs/>
                <w:color w:val="000000"/>
                <w:lang w:eastAsia="es-CL"/>
              </w:rPr>
            </w:pPr>
            <w:r>
              <w:rPr>
                <w:rFonts w:ascii="Calibri" w:eastAsia="Times New Roman" w:hAnsi="Calibri" w:cs="Times New Roman"/>
                <w:bCs/>
                <w:color w:val="000000"/>
                <w:lang w:eastAsia="es-CL"/>
              </w:rPr>
              <w:t>PERSONA O ENTIDAD QUE EFECTÚA EL COMENTARIO U OBSERVACIÓN</w:t>
            </w:r>
          </w:p>
        </w:tc>
        <w:tc>
          <w:tcPr>
            <w:tcW w:w="1721"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6FC3C612" w14:textId="77777777" w:rsidR="00952D86" w:rsidRDefault="00952D86" w:rsidP="001E6351">
            <w:pPr>
              <w:jc w:val="both"/>
              <w:textAlignment w:val="baseline"/>
              <w:rPr>
                <w:rFonts w:ascii="Calibri" w:eastAsia="Times New Roman" w:hAnsi="Calibri" w:cs="Times New Roman"/>
                <w:bCs/>
                <w:color w:val="000000"/>
                <w:lang w:eastAsia="es-CL"/>
              </w:rPr>
            </w:pPr>
            <w:r>
              <w:rPr>
                <w:rFonts w:ascii="Calibri" w:eastAsia="Times New Roman" w:hAnsi="Calibri" w:cs="Times New Roman"/>
                <w:bCs/>
                <w:color w:val="000000"/>
                <w:lang w:eastAsia="es-CL"/>
              </w:rPr>
              <w:t>SECCIÓN O NÚMERO, EN EL COMPENDIO O  PROYECTO DE CIRCULAR, OBJETO DEL COMENTARIO</w:t>
            </w:r>
          </w:p>
        </w:tc>
        <w:tc>
          <w:tcPr>
            <w:tcW w:w="2564"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44929CD8" w14:textId="77777777" w:rsidR="00952D86" w:rsidRDefault="00952D86" w:rsidP="001E6351">
            <w:pPr>
              <w:jc w:val="both"/>
              <w:textAlignment w:val="baseline"/>
              <w:rPr>
                <w:rFonts w:ascii="Calibri" w:eastAsia="Times New Roman" w:hAnsi="Calibri" w:cs="Times New Roman"/>
                <w:bCs/>
                <w:color w:val="000000"/>
                <w:lang w:eastAsia="es-CL"/>
              </w:rPr>
            </w:pPr>
            <w:r>
              <w:rPr>
                <w:rFonts w:ascii="Calibri" w:eastAsia="Times New Roman" w:hAnsi="Calibri" w:cs="Times New Roman"/>
                <w:bCs/>
                <w:color w:val="000000"/>
                <w:lang w:eastAsia="es-CL"/>
              </w:rPr>
              <w:t>TÍTULO DE LA SECCIÓN DEL PROYECTO O COMPENDIO, OBJETO DEL COMENTARIO</w:t>
            </w:r>
          </w:p>
        </w:tc>
        <w:tc>
          <w:tcPr>
            <w:tcW w:w="4951"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4797F17F" w14:textId="77777777" w:rsidR="00952D86" w:rsidRDefault="00952D86" w:rsidP="001E6351">
            <w:pPr>
              <w:jc w:val="both"/>
              <w:textAlignment w:val="baseline"/>
              <w:rPr>
                <w:rFonts w:ascii="Calibri" w:eastAsia="Times New Roman" w:hAnsi="Calibri" w:cs="Times New Roman"/>
                <w:bCs/>
                <w:color w:val="000000"/>
                <w:lang w:eastAsia="es-CL"/>
              </w:rPr>
            </w:pPr>
            <w:r>
              <w:rPr>
                <w:rFonts w:ascii="Calibri" w:eastAsia="Times New Roman" w:hAnsi="Calibri" w:cs="Times New Roman"/>
                <w:bCs/>
                <w:color w:val="000000"/>
                <w:lang w:eastAsia="es-CL"/>
              </w:rPr>
              <w:t>TEXTO DE LA SECCIÓN DEL PROYECTO DE CIRCULAR OBJETO DEL COMENTARIO</w:t>
            </w:r>
          </w:p>
        </w:tc>
        <w:tc>
          <w:tcPr>
            <w:tcW w:w="2410"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2B18659C" w14:textId="77777777" w:rsidR="00952D86" w:rsidRDefault="00952D86" w:rsidP="001E6351">
            <w:pPr>
              <w:jc w:val="both"/>
              <w:textAlignment w:val="baseline"/>
              <w:rPr>
                <w:rFonts w:ascii="Calibri" w:eastAsia="Times New Roman" w:hAnsi="Calibri" w:cs="Times New Roman"/>
                <w:bCs/>
                <w:color w:val="000000"/>
                <w:lang w:eastAsia="es-CL"/>
              </w:rPr>
            </w:pPr>
            <w:r>
              <w:rPr>
                <w:rFonts w:ascii="Calibri" w:eastAsia="Times New Roman" w:hAnsi="Calibri" w:cs="Times New Roman"/>
                <w:bCs/>
                <w:color w:val="000000"/>
                <w:lang w:eastAsia="es-CL"/>
              </w:rPr>
              <w:t>COMENTARIOS</w:t>
            </w:r>
          </w:p>
          <w:p w14:paraId="61FEEEA8" w14:textId="77777777" w:rsidR="00952D86" w:rsidRDefault="00952D86" w:rsidP="001E6351">
            <w:pPr>
              <w:jc w:val="both"/>
              <w:textAlignment w:val="baseline"/>
              <w:rPr>
                <w:rFonts w:ascii="Calibri" w:eastAsia="Times New Roman" w:hAnsi="Calibri" w:cs="Times New Roman"/>
                <w:bCs/>
                <w:color w:val="000000"/>
                <w:lang w:eastAsia="es-CL"/>
              </w:rPr>
            </w:pPr>
            <w:r>
              <w:rPr>
                <w:rFonts w:ascii="Calibri" w:eastAsia="Times New Roman" w:hAnsi="Calibri" w:cs="Times New Roman"/>
                <w:bCs/>
                <w:color w:val="000000"/>
                <w:lang w:eastAsia="es-CL"/>
              </w:rPr>
              <w:t>DE LA PERSONA O ENTIDAD</w:t>
            </w:r>
          </w:p>
        </w:tc>
      </w:tr>
      <w:tr w:rsidR="00952D86" w14:paraId="3967EEBE" w14:textId="77777777" w:rsidTr="001E6351">
        <w:trPr>
          <w:jc w:val="center"/>
        </w:trPr>
        <w:tc>
          <w:tcPr>
            <w:tcW w:w="2241" w:type="dxa"/>
            <w:tcBorders>
              <w:top w:val="single" w:sz="4" w:space="0" w:color="auto"/>
              <w:left w:val="single" w:sz="4" w:space="0" w:color="auto"/>
              <w:bottom w:val="single" w:sz="4" w:space="0" w:color="auto"/>
              <w:right w:val="single" w:sz="4" w:space="0" w:color="auto"/>
            </w:tcBorders>
          </w:tcPr>
          <w:p w14:paraId="58258D23" w14:textId="77777777" w:rsidR="00952D86" w:rsidRDefault="00952D86" w:rsidP="001E6351">
            <w:pPr>
              <w:jc w:val="both"/>
              <w:textAlignment w:val="baseline"/>
              <w:rPr>
                <w:rFonts w:ascii="Calibri" w:eastAsia="Times New Roman" w:hAnsi="Calibri" w:cs="Times New Roman"/>
                <w:bCs/>
                <w:color w:val="000000"/>
                <w:lang w:eastAsia="es-CL"/>
              </w:rPr>
            </w:pPr>
            <w:r>
              <w:rPr>
                <w:rFonts w:ascii="Calibri" w:eastAsia="Times New Roman" w:hAnsi="Calibri" w:cs="Times New Roman"/>
                <w:bCs/>
                <w:color w:val="000000"/>
                <w:lang w:eastAsia="es-CL"/>
              </w:rPr>
              <w:t>Ejemplo:</w:t>
            </w:r>
          </w:p>
          <w:p w14:paraId="33A455AD" w14:textId="77777777" w:rsidR="00952D86" w:rsidRDefault="00952D86" w:rsidP="001E6351">
            <w:pPr>
              <w:jc w:val="both"/>
              <w:textAlignment w:val="baseline"/>
              <w:rPr>
                <w:rFonts w:ascii="Calibri" w:eastAsia="Times New Roman" w:hAnsi="Calibri" w:cs="Times New Roman"/>
                <w:bCs/>
                <w:color w:val="000000"/>
                <w:lang w:eastAsia="es-CL"/>
              </w:rPr>
            </w:pPr>
          </w:p>
          <w:p w14:paraId="42779F25" w14:textId="77777777" w:rsidR="00952D86" w:rsidRDefault="00952D86" w:rsidP="001E6351">
            <w:pPr>
              <w:jc w:val="both"/>
              <w:textAlignment w:val="baseline"/>
              <w:rPr>
                <w:rFonts w:ascii="Calibri" w:eastAsia="Times New Roman" w:hAnsi="Calibri" w:cs="Times New Roman"/>
                <w:bCs/>
                <w:color w:val="000000"/>
                <w:lang w:eastAsia="es-CL"/>
              </w:rPr>
            </w:pPr>
            <w:r>
              <w:rPr>
                <w:rFonts w:ascii="Calibri" w:eastAsia="Times New Roman" w:hAnsi="Calibri" w:cs="Times New Roman"/>
                <w:bCs/>
                <w:color w:val="000000"/>
                <w:lang w:eastAsia="es-CL"/>
              </w:rPr>
              <w:t>Mutualidad de Empleadores</w:t>
            </w:r>
          </w:p>
        </w:tc>
        <w:tc>
          <w:tcPr>
            <w:tcW w:w="1721" w:type="dxa"/>
            <w:tcBorders>
              <w:top w:val="single" w:sz="4" w:space="0" w:color="auto"/>
              <w:left w:val="single" w:sz="4" w:space="0" w:color="auto"/>
              <w:bottom w:val="single" w:sz="4" w:space="0" w:color="auto"/>
              <w:right w:val="single" w:sz="4" w:space="0" w:color="auto"/>
            </w:tcBorders>
          </w:tcPr>
          <w:p w14:paraId="02212B5B" w14:textId="77777777" w:rsidR="00952D86" w:rsidRDefault="00952D86" w:rsidP="001E6351">
            <w:pPr>
              <w:jc w:val="both"/>
              <w:textAlignment w:val="baseline"/>
              <w:rPr>
                <w:rFonts w:ascii="Calibri" w:eastAsia="Times New Roman" w:hAnsi="Calibri" w:cs="Times New Roman"/>
                <w:bCs/>
                <w:color w:val="000000"/>
                <w:lang w:eastAsia="es-CL"/>
              </w:rPr>
            </w:pPr>
            <w:r>
              <w:rPr>
                <w:rFonts w:ascii="Calibri" w:eastAsia="Times New Roman" w:hAnsi="Calibri" w:cs="Times New Roman"/>
                <w:bCs/>
                <w:color w:val="000000"/>
                <w:lang w:eastAsia="es-CL"/>
              </w:rPr>
              <w:t>Ejemplo:</w:t>
            </w:r>
          </w:p>
          <w:p w14:paraId="4D88FE86" w14:textId="77777777" w:rsidR="00952D86" w:rsidRDefault="00952D86" w:rsidP="001E6351">
            <w:pPr>
              <w:jc w:val="both"/>
              <w:textAlignment w:val="baseline"/>
              <w:rPr>
                <w:rFonts w:ascii="Calibri" w:eastAsia="Times New Roman" w:hAnsi="Calibri" w:cs="Times New Roman"/>
                <w:bCs/>
                <w:color w:val="000000"/>
                <w:lang w:eastAsia="es-CL"/>
              </w:rPr>
            </w:pPr>
          </w:p>
          <w:p w14:paraId="1B994AED" w14:textId="77777777" w:rsidR="00952D86" w:rsidRDefault="00952D86" w:rsidP="001E6351">
            <w:pPr>
              <w:jc w:val="both"/>
              <w:textAlignment w:val="baseline"/>
              <w:rPr>
                <w:rFonts w:ascii="Calibri" w:eastAsia="Times New Roman" w:hAnsi="Calibri" w:cs="Times New Roman"/>
                <w:bCs/>
                <w:color w:val="000000"/>
                <w:lang w:eastAsia="es-CL"/>
              </w:rPr>
            </w:pPr>
            <w:r>
              <w:rPr>
                <w:rFonts w:ascii="Calibri" w:eastAsia="Times New Roman" w:hAnsi="Calibri" w:cs="Times New Roman"/>
                <w:bCs/>
                <w:color w:val="000000"/>
                <w:lang w:eastAsia="es-CL"/>
              </w:rPr>
              <w:t>Número 1, Letra A, Título II, Libro IV</w:t>
            </w:r>
          </w:p>
        </w:tc>
        <w:tc>
          <w:tcPr>
            <w:tcW w:w="2564" w:type="dxa"/>
            <w:tcBorders>
              <w:top w:val="single" w:sz="4" w:space="0" w:color="auto"/>
              <w:left w:val="single" w:sz="4" w:space="0" w:color="auto"/>
              <w:bottom w:val="single" w:sz="4" w:space="0" w:color="auto"/>
              <w:right w:val="single" w:sz="4" w:space="0" w:color="auto"/>
            </w:tcBorders>
          </w:tcPr>
          <w:p w14:paraId="62DC3452" w14:textId="77777777" w:rsidR="00952D86" w:rsidRDefault="00952D86" w:rsidP="001E6351">
            <w:pPr>
              <w:jc w:val="both"/>
              <w:textAlignment w:val="baseline"/>
              <w:rPr>
                <w:rFonts w:ascii="Calibri" w:eastAsia="Times New Roman" w:hAnsi="Calibri" w:cs="Times New Roman"/>
                <w:bCs/>
                <w:color w:val="000000"/>
                <w:lang w:eastAsia="es-CL"/>
              </w:rPr>
            </w:pPr>
            <w:r>
              <w:rPr>
                <w:rFonts w:ascii="Calibri" w:eastAsia="Times New Roman" w:hAnsi="Calibri" w:cs="Times New Roman"/>
                <w:bCs/>
                <w:color w:val="000000"/>
                <w:lang w:eastAsia="es-CL"/>
              </w:rPr>
              <w:t>Ejemplo:</w:t>
            </w:r>
          </w:p>
          <w:p w14:paraId="34D01FE8" w14:textId="77777777" w:rsidR="00952D86" w:rsidRDefault="00952D86" w:rsidP="001E6351">
            <w:pPr>
              <w:jc w:val="both"/>
              <w:textAlignment w:val="baseline"/>
              <w:rPr>
                <w:rFonts w:ascii="Calibri" w:eastAsia="Times New Roman" w:hAnsi="Calibri" w:cs="Times New Roman"/>
                <w:bCs/>
                <w:color w:val="000000"/>
                <w:lang w:eastAsia="es-CL"/>
              </w:rPr>
            </w:pPr>
            <w:r>
              <w:rPr>
                <w:rFonts w:ascii="Calibri" w:eastAsia="Times New Roman" w:hAnsi="Calibri" w:cs="Times New Roman"/>
                <w:bCs/>
                <w:color w:val="000000"/>
                <w:lang w:eastAsia="es-CL"/>
              </w:rPr>
              <w:t>1. Actividades permanentes de prevención de riesgos laborales</w:t>
            </w:r>
          </w:p>
          <w:p w14:paraId="2F64D343" w14:textId="77777777" w:rsidR="00952D86" w:rsidRDefault="00952D86" w:rsidP="001E6351">
            <w:pPr>
              <w:jc w:val="both"/>
              <w:textAlignment w:val="baseline"/>
              <w:rPr>
                <w:rFonts w:ascii="Calibri" w:eastAsia="Times New Roman" w:hAnsi="Calibri" w:cs="Times New Roman"/>
                <w:bCs/>
                <w:color w:val="000000"/>
                <w:lang w:eastAsia="es-CL"/>
              </w:rPr>
            </w:pPr>
          </w:p>
        </w:tc>
        <w:tc>
          <w:tcPr>
            <w:tcW w:w="4951" w:type="dxa"/>
            <w:tcBorders>
              <w:top w:val="single" w:sz="4" w:space="0" w:color="auto"/>
              <w:left w:val="single" w:sz="4" w:space="0" w:color="auto"/>
              <w:bottom w:val="single" w:sz="4" w:space="0" w:color="auto"/>
              <w:right w:val="single" w:sz="4" w:space="0" w:color="auto"/>
            </w:tcBorders>
            <w:hideMark/>
          </w:tcPr>
          <w:p w14:paraId="4A096BDC" w14:textId="77777777" w:rsidR="00952D86" w:rsidRDefault="00952D86" w:rsidP="001E6351">
            <w:pPr>
              <w:jc w:val="both"/>
              <w:textAlignment w:val="baseline"/>
              <w:rPr>
                <w:rFonts w:ascii="Calibri" w:eastAsia="Times New Roman" w:hAnsi="Calibri" w:cs="Times New Roman"/>
                <w:bCs/>
                <w:color w:val="000000"/>
                <w:lang w:eastAsia="es-CL"/>
              </w:rPr>
            </w:pPr>
            <w:r>
              <w:rPr>
                <w:rFonts w:ascii="Calibri" w:eastAsia="Times New Roman" w:hAnsi="Calibri" w:cs="Times New Roman"/>
                <w:bCs/>
                <w:color w:val="000000"/>
                <w:lang w:eastAsia="es-CL"/>
              </w:rPr>
              <w:t>Ejemplo:</w:t>
            </w:r>
          </w:p>
          <w:p w14:paraId="667BAB70" w14:textId="77777777" w:rsidR="00952D86" w:rsidRDefault="00952D86" w:rsidP="001E6351">
            <w:pPr>
              <w:jc w:val="both"/>
              <w:textAlignment w:val="baseline"/>
              <w:rPr>
                <w:rFonts w:ascii="Calibri" w:eastAsia="Times New Roman" w:hAnsi="Calibri" w:cs="Times New Roman"/>
                <w:bCs/>
                <w:color w:val="000000"/>
                <w:lang w:eastAsia="es-CL"/>
              </w:rPr>
            </w:pPr>
            <w:r>
              <w:rPr>
                <w:rFonts w:ascii="Calibri" w:eastAsia="Times New Roman" w:hAnsi="Calibri" w:cs="Times New Roman"/>
                <w:bCs/>
                <w:color w:val="000000"/>
                <w:lang w:eastAsia="es-CL"/>
              </w:rPr>
              <w:t>La expresión "actividades permanentes de prevención de riesgos", está referida a todas aquellas gestiones, procedimientos o instrucciones que los organismos administradores deben realizar dentro del marco legal y reglamentario vigente, en relación con la naturaleza y magnitud del riesgo asociado a la actividad productiva de sus trabajadores independientes y entidades empleadoras afiliadas y que éstas deberán implementar, cuando corresponda, con el concurso de los Departamentos de Prevención de Riesgos Profesionales y/o de los Comités Paritarios, según sea el caso, con independencia de la ocurrencia o no de siniestros de accidentes del trabajo o enfermedades profesionales.</w:t>
            </w:r>
          </w:p>
        </w:tc>
        <w:tc>
          <w:tcPr>
            <w:tcW w:w="2410" w:type="dxa"/>
            <w:tcBorders>
              <w:top w:val="single" w:sz="4" w:space="0" w:color="auto"/>
              <w:left w:val="single" w:sz="4" w:space="0" w:color="auto"/>
              <w:bottom w:val="single" w:sz="4" w:space="0" w:color="auto"/>
              <w:right w:val="single" w:sz="4" w:space="0" w:color="auto"/>
            </w:tcBorders>
          </w:tcPr>
          <w:p w14:paraId="316CE3B2" w14:textId="77777777" w:rsidR="00952D86" w:rsidRDefault="00952D86" w:rsidP="001E6351">
            <w:pPr>
              <w:jc w:val="both"/>
              <w:textAlignment w:val="baseline"/>
              <w:rPr>
                <w:rFonts w:ascii="Calibri" w:eastAsia="Times New Roman" w:hAnsi="Calibri" w:cs="Times New Roman"/>
                <w:bCs/>
                <w:color w:val="000000"/>
                <w:lang w:eastAsia="es-CL"/>
              </w:rPr>
            </w:pPr>
          </w:p>
        </w:tc>
      </w:tr>
      <w:tr w:rsidR="00952D86" w14:paraId="62F69DEA" w14:textId="77777777" w:rsidTr="001E6351">
        <w:trPr>
          <w:jc w:val="center"/>
        </w:trPr>
        <w:tc>
          <w:tcPr>
            <w:tcW w:w="2241" w:type="dxa"/>
            <w:tcBorders>
              <w:top w:val="single" w:sz="4" w:space="0" w:color="auto"/>
              <w:left w:val="single" w:sz="4" w:space="0" w:color="auto"/>
              <w:bottom w:val="single" w:sz="4" w:space="0" w:color="auto"/>
              <w:right w:val="single" w:sz="4" w:space="0" w:color="auto"/>
            </w:tcBorders>
          </w:tcPr>
          <w:p w14:paraId="633EC903" w14:textId="77777777" w:rsidR="00952D86" w:rsidRDefault="00952D86" w:rsidP="001E6351">
            <w:pPr>
              <w:jc w:val="both"/>
              <w:textAlignment w:val="baseline"/>
              <w:rPr>
                <w:rFonts w:ascii="Calibri" w:eastAsia="Times New Roman" w:hAnsi="Calibri" w:cs="Times New Roman"/>
                <w:bCs/>
                <w:color w:val="000000"/>
                <w:lang w:eastAsia="es-CL"/>
              </w:rPr>
            </w:pPr>
          </w:p>
        </w:tc>
        <w:tc>
          <w:tcPr>
            <w:tcW w:w="1721" w:type="dxa"/>
            <w:tcBorders>
              <w:top w:val="single" w:sz="4" w:space="0" w:color="auto"/>
              <w:left w:val="single" w:sz="4" w:space="0" w:color="auto"/>
              <w:bottom w:val="single" w:sz="4" w:space="0" w:color="auto"/>
              <w:right w:val="single" w:sz="4" w:space="0" w:color="auto"/>
            </w:tcBorders>
          </w:tcPr>
          <w:p w14:paraId="7AB257B2" w14:textId="77777777" w:rsidR="00952D86" w:rsidRDefault="00952D86" w:rsidP="001E6351">
            <w:pPr>
              <w:jc w:val="both"/>
              <w:textAlignment w:val="baseline"/>
              <w:rPr>
                <w:rFonts w:ascii="Calibri" w:eastAsia="Times New Roman" w:hAnsi="Calibri" w:cs="Times New Roman"/>
                <w:bCs/>
                <w:color w:val="000000"/>
                <w:lang w:eastAsia="es-CL"/>
              </w:rPr>
            </w:pPr>
          </w:p>
        </w:tc>
        <w:tc>
          <w:tcPr>
            <w:tcW w:w="2564" w:type="dxa"/>
            <w:tcBorders>
              <w:top w:val="single" w:sz="4" w:space="0" w:color="auto"/>
              <w:left w:val="single" w:sz="4" w:space="0" w:color="auto"/>
              <w:bottom w:val="single" w:sz="4" w:space="0" w:color="auto"/>
              <w:right w:val="single" w:sz="4" w:space="0" w:color="auto"/>
            </w:tcBorders>
          </w:tcPr>
          <w:p w14:paraId="26DB3F2D" w14:textId="77777777" w:rsidR="00952D86" w:rsidRDefault="00952D86" w:rsidP="001E6351">
            <w:pPr>
              <w:jc w:val="both"/>
              <w:textAlignment w:val="baseline"/>
              <w:rPr>
                <w:rFonts w:ascii="Calibri" w:eastAsia="Times New Roman" w:hAnsi="Calibri" w:cs="Times New Roman"/>
                <w:bCs/>
                <w:color w:val="000000"/>
                <w:lang w:eastAsia="es-CL"/>
              </w:rPr>
            </w:pPr>
          </w:p>
        </w:tc>
        <w:tc>
          <w:tcPr>
            <w:tcW w:w="4951" w:type="dxa"/>
            <w:tcBorders>
              <w:top w:val="single" w:sz="4" w:space="0" w:color="auto"/>
              <w:left w:val="single" w:sz="4" w:space="0" w:color="auto"/>
              <w:bottom w:val="single" w:sz="4" w:space="0" w:color="auto"/>
              <w:right w:val="single" w:sz="4" w:space="0" w:color="auto"/>
            </w:tcBorders>
          </w:tcPr>
          <w:p w14:paraId="44137066" w14:textId="77777777" w:rsidR="00952D86" w:rsidRDefault="00952D86" w:rsidP="001E6351">
            <w:pPr>
              <w:jc w:val="both"/>
              <w:textAlignment w:val="baseline"/>
              <w:rPr>
                <w:rFonts w:ascii="Calibri" w:eastAsia="Times New Roman" w:hAnsi="Calibri" w:cs="Times New Roman"/>
                <w:bCs/>
                <w:color w:val="000000"/>
                <w:lang w:eastAsia="es-CL"/>
              </w:rPr>
            </w:pPr>
          </w:p>
        </w:tc>
        <w:tc>
          <w:tcPr>
            <w:tcW w:w="2410" w:type="dxa"/>
            <w:tcBorders>
              <w:top w:val="single" w:sz="4" w:space="0" w:color="auto"/>
              <w:left w:val="single" w:sz="4" w:space="0" w:color="auto"/>
              <w:bottom w:val="single" w:sz="4" w:space="0" w:color="auto"/>
              <w:right w:val="single" w:sz="4" w:space="0" w:color="auto"/>
            </w:tcBorders>
          </w:tcPr>
          <w:p w14:paraId="38CBC4BC" w14:textId="77777777" w:rsidR="00952D86" w:rsidRDefault="00952D86" w:rsidP="001E6351">
            <w:pPr>
              <w:jc w:val="both"/>
              <w:textAlignment w:val="baseline"/>
              <w:rPr>
                <w:rFonts w:ascii="Calibri" w:eastAsia="Times New Roman" w:hAnsi="Calibri" w:cs="Times New Roman"/>
                <w:bCs/>
                <w:color w:val="000000"/>
                <w:lang w:eastAsia="es-CL"/>
              </w:rPr>
            </w:pPr>
          </w:p>
          <w:p w14:paraId="7C47254D" w14:textId="77777777" w:rsidR="00952D86" w:rsidRDefault="00952D86" w:rsidP="001E6351">
            <w:pPr>
              <w:jc w:val="both"/>
              <w:textAlignment w:val="baseline"/>
              <w:rPr>
                <w:rFonts w:ascii="Calibri" w:eastAsia="Times New Roman" w:hAnsi="Calibri" w:cs="Times New Roman"/>
                <w:bCs/>
                <w:color w:val="000000"/>
                <w:lang w:eastAsia="es-CL"/>
              </w:rPr>
            </w:pPr>
          </w:p>
          <w:p w14:paraId="506F0657" w14:textId="77777777" w:rsidR="00952D86" w:rsidRDefault="00952D86" w:rsidP="001E6351">
            <w:pPr>
              <w:jc w:val="both"/>
              <w:textAlignment w:val="baseline"/>
              <w:rPr>
                <w:rFonts w:ascii="Calibri" w:eastAsia="Times New Roman" w:hAnsi="Calibri" w:cs="Times New Roman"/>
                <w:bCs/>
                <w:color w:val="000000"/>
                <w:lang w:eastAsia="es-CL"/>
              </w:rPr>
            </w:pPr>
          </w:p>
          <w:p w14:paraId="4E530BC0" w14:textId="77777777" w:rsidR="00952D86" w:rsidRDefault="00952D86" w:rsidP="001E6351">
            <w:pPr>
              <w:jc w:val="both"/>
              <w:textAlignment w:val="baseline"/>
              <w:rPr>
                <w:rFonts w:ascii="Calibri" w:eastAsia="Times New Roman" w:hAnsi="Calibri" w:cs="Times New Roman"/>
                <w:bCs/>
                <w:color w:val="000000"/>
                <w:lang w:eastAsia="es-CL"/>
              </w:rPr>
            </w:pPr>
          </w:p>
        </w:tc>
      </w:tr>
    </w:tbl>
    <w:p w14:paraId="2A14F9B1" w14:textId="77777777" w:rsidR="00952D86" w:rsidRDefault="00952D86" w:rsidP="00952D86">
      <w:pPr>
        <w:spacing w:after="0"/>
        <w:jc w:val="both"/>
        <w:textAlignment w:val="baseline"/>
        <w:rPr>
          <w:rFonts w:ascii="Calibri" w:eastAsia="Times New Roman" w:hAnsi="Calibri" w:cs="Times New Roman"/>
          <w:bCs/>
          <w:color w:val="000000"/>
          <w:lang w:eastAsia="es-CL"/>
        </w:rPr>
      </w:pPr>
    </w:p>
    <w:p w14:paraId="168B3B2C" w14:textId="1DAA7ABA" w:rsidR="00952D86" w:rsidRPr="00952D86" w:rsidRDefault="00952D86" w:rsidP="00952D86">
      <w:pPr>
        <w:tabs>
          <w:tab w:val="left" w:pos="1650"/>
        </w:tabs>
        <w:rPr>
          <w:lang w:val="es-ES"/>
        </w:rPr>
      </w:pPr>
    </w:p>
    <w:sectPr w:rsidR="00952D86" w:rsidRPr="00952D86" w:rsidSect="00952D86">
      <w:pgSz w:w="15840" w:h="12240" w:orient="landscape" w:code="1"/>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E92E0" w14:textId="77777777" w:rsidR="00DB5939" w:rsidRDefault="00DB5939">
      <w:pPr>
        <w:spacing w:after="0" w:line="240" w:lineRule="auto"/>
      </w:pPr>
      <w:r>
        <w:separator/>
      </w:r>
    </w:p>
  </w:endnote>
  <w:endnote w:type="continuationSeparator" w:id="0">
    <w:p w14:paraId="40FC9923" w14:textId="77777777" w:rsidR="00DB5939" w:rsidRDefault="00DB5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E6A34" w14:textId="77777777" w:rsidR="00DB5939" w:rsidRDefault="00DB5939">
      <w:pPr>
        <w:spacing w:after="0" w:line="240" w:lineRule="auto"/>
      </w:pPr>
      <w:r>
        <w:separator/>
      </w:r>
    </w:p>
  </w:footnote>
  <w:footnote w:type="continuationSeparator" w:id="0">
    <w:p w14:paraId="6AF1BA3D" w14:textId="77777777" w:rsidR="00DB5939" w:rsidRDefault="00DB5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2F6A8" w14:textId="77777777" w:rsidR="00780BEB" w:rsidRDefault="00E37EA3" w:rsidP="00780BEB">
    <w:pPr>
      <w:pStyle w:val="HeaderEven"/>
      <w:ind w:left="993"/>
      <w:rPr>
        <w:szCs w:val="20"/>
      </w:rPr>
    </w:pPr>
    <w:r w:rsidRPr="00625DAC">
      <w:rPr>
        <w:rFonts w:ascii="Times" w:eastAsia="Times New Roman" w:hAnsi="Times" w:cs="Times New Roman"/>
        <w:b w:val="0"/>
        <w:bCs w:val="0"/>
        <w:i/>
        <w:iCs/>
        <w:noProof/>
        <w:color w:val="auto"/>
        <w:sz w:val="16"/>
        <w:lang w:val="es-CL" w:eastAsia="es-CL"/>
      </w:rPr>
      <w:drawing>
        <wp:anchor distT="0" distB="0" distL="114300" distR="114300" simplePos="0" relativeHeight="251659264" behindDoc="0" locked="0" layoutInCell="1" allowOverlap="1" wp14:anchorId="45B30375" wp14:editId="7F988268">
          <wp:simplePos x="0" y="0"/>
          <wp:positionH relativeFrom="column">
            <wp:posOffset>635</wp:posOffset>
          </wp:positionH>
          <wp:positionV relativeFrom="paragraph">
            <wp:posOffset>-50165</wp:posOffset>
          </wp:positionV>
          <wp:extent cx="441960" cy="400050"/>
          <wp:effectExtent l="0" t="0" r="0" b="0"/>
          <wp:wrapSquare wrapText="bothSides"/>
          <wp:docPr id="1" name="Imagen 30" descr="C:\Mis Datos\SUSESO\Logo_2011\suseso 12x13 cm 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Mis Datos\SUSESO\Logo_2011\suseso 12x13 cm 150dpi.jpg"/>
                  <pic:cNvPicPr>
                    <a:picLocks noChangeAspect="1" noChangeArrowheads="1"/>
                  </pic:cNvPicPr>
                </pic:nvPicPr>
                <pic:blipFill>
                  <a:blip r:embed="rId1" cstate="print"/>
                  <a:srcRect/>
                  <a:stretch>
                    <a:fillRect/>
                  </a:stretch>
                </pic:blipFill>
                <pic:spPr bwMode="auto">
                  <a:xfrm>
                    <a:off x="0" y="0"/>
                    <a:ext cx="441960" cy="4000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szCs w:val="20"/>
      </w:rPr>
      <w:t>Superintendencia de Seguridad Social</w:t>
    </w:r>
  </w:p>
  <w:p w14:paraId="2E2D67A5" w14:textId="77777777" w:rsidR="00780BEB" w:rsidRPr="00693823" w:rsidRDefault="00E37EA3" w:rsidP="00780BEB">
    <w:pPr>
      <w:pStyle w:val="HeaderEven"/>
      <w:ind w:left="993"/>
      <w:rPr>
        <w:szCs w:val="20"/>
      </w:rPr>
    </w:pPr>
    <w:r>
      <w:rPr>
        <w:szCs w:val="20"/>
      </w:rPr>
      <w:t>Intendencia de Seguridad y Salud en el Trabajo</w:t>
    </w:r>
  </w:p>
  <w:p w14:paraId="1EEDEBE7" w14:textId="77777777" w:rsidR="00780BEB" w:rsidRDefault="00DB593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8075E"/>
    <w:multiLevelType w:val="hybridMultilevel"/>
    <w:tmpl w:val="438EF0AE"/>
    <w:lvl w:ilvl="0" w:tplc="052A7BFE">
      <w:start w:val="3"/>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33836F8C"/>
    <w:multiLevelType w:val="hybridMultilevel"/>
    <w:tmpl w:val="C066938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470665C2"/>
    <w:multiLevelType w:val="hybridMultilevel"/>
    <w:tmpl w:val="283844CE"/>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22F"/>
    <w:rsid w:val="0010408B"/>
    <w:rsid w:val="00293AED"/>
    <w:rsid w:val="00403808"/>
    <w:rsid w:val="0044317F"/>
    <w:rsid w:val="004842BA"/>
    <w:rsid w:val="004B6F48"/>
    <w:rsid w:val="00611D7C"/>
    <w:rsid w:val="006948D2"/>
    <w:rsid w:val="006A4459"/>
    <w:rsid w:val="0074600B"/>
    <w:rsid w:val="00850D5F"/>
    <w:rsid w:val="008C7B20"/>
    <w:rsid w:val="008D5C82"/>
    <w:rsid w:val="008E0B22"/>
    <w:rsid w:val="008F322F"/>
    <w:rsid w:val="00920F11"/>
    <w:rsid w:val="00952D86"/>
    <w:rsid w:val="009870B4"/>
    <w:rsid w:val="009978DA"/>
    <w:rsid w:val="009A6D25"/>
    <w:rsid w:val="00A46943"/>
    <w:rsid w:val="00A6335B"/>
    <w:rsid w:val="00B31CFB"/>
    <w:rsid w:val="00C50BD6"/>
    <w:rsid w:val="00D267A4"/>
    <w:rsid w:val="00DB5939"/>
    <w:rsid w:val="00DC4F0D"/>
    <w:rsid w:val="00E03247"/>
    <w:rsid w:val="00E13EAF"/>
    <w:rsid w:val="00E37EA3"/>
    <w:rsid w:val="00E5098C"/>
    <w:rsid w:val="00F5017A"/>
    <w:rsid w:val="00FC09B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E0A2E"/>
  <w15:chartTrackingRefBased/>
  <w15:docId w15:val="{DEF2E462-839B-4BC4-9E3C-19D430F7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A6335B"/>
    <w:rPr>
      <w:color w:val="0000FF"/>
      <w:u w:val="single"/>
    </w:rPr>
  </w:style>
  <w:style w:type="paragraph" w:styleId="Prrafodelista">
    <w:name w:val="List Paragraph"/>
    <w:basedOn w:val="Normal"/>
    <w:uiPriority w:val="34"/>
    <w:qFormat/>
    <w:rsid w:val="00A6335B"/>
    <w:pPr>
      <w:ind w:left="720"/>
      <w:contextualSpacing/>
    </w:pPr>
  </w:style>
  <w:style w:type="paragraph" w:styleId="Revisin">
    <w:name w:val="Revision"/>
    <w:hidden/>
    <w:uiPriority w:val="99"/>
    <w:semiHidden/>
    <w:rsid w:val="009A6D25"/>
    <w:pPr>
      <w:spacing w:after="0" w:line="240" w:lineRule="auto"/>
    </w:pPr>
    <w:rPr>
      <w:noProof/>
    </w:rPr>
  </w:style>
  <w:style w:type="paragraph" w:styleId="Encabezado">
    <w:name w:val="header"/>
    <w:basedOn w:val="Normal"/>
    <w:link w:val="EncabezadoCar"/>
    <w:uiPriority w:val="99"/>
    <w:unhideWhenUsed/>
    <w:rsid w:val="00952D86"/>
    <w:pPr>
      <w:tabs>
        <w:tab w:val="center" w:pos="4419"/>
        <w:tab w:val="right" w:pos="8838"/>
      </w:tabs>
      <w:spacing w:after="0" w:line="240" w:lineRule="auto"/>
    </w:pPr>
    <w:rPr>
      <w:noProof w:val="0"/>
    </w:rPr>
  </w:style>
  <w:style w:type="character" w:customStyle="1" w:styleId="EncabezadoCar">
    <w:name w:val="Encabezado Car"/>
    <w:basedOn w:val="Fuentedeprrafopredeter"/>
    <w:link w:val="Encabezado"/>
    <w:uiPriority w:val="99"/>
    <w:rsid w:val="00952D86"/>
  </w:style>
  <w:style w:type="paragraph" w:customStyle="1" w:styleId="HeaderEven">
    <w:name w:val="Header Even"/>
    <w:basedOn w:val="Sinespaciado"/>
    <w:qFormat/>
    <w:rsid w:val="00952D86"/>
    <w:pPr>
      <w:pBdr>
        <w:bottom w:val="single" w:sz="4" w:space="1" w:color="5B9BD5" w:themeColor="accent1"/>
      </w:pBdr>
    </w:pPr>
    <w:rPr>
      <w:rFonts w:eastAsiaTheme="minorEastAsia"/>
      <w:b/>
      <w:bCs/>
      <w:noProof w:val="0"/>
      <w:color w:val="44546A" w:themeColor="text2"/>
      <w:sz w:val="20"/>
      <w:szCs w:val="23"/>
      <w:lang w:val="es-ES" w:eastAsia="fr-FR"/>
    </w:rPr>
  </w:style>
  <w:style w:type="table" w:styleId="Tablaconcuadrcula">
    <w:name w:val="Table Grid"/>
    <w:basedOn w:val="Tablanormal"/>
    <w:uiPriority w:val="59"/>
    <w:rsid w:val="00952D8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952D86"/>
    <w:pPr>
      <w:spacing w:after="0" w:line="240" w:lineRule="auto"/>
    </w:pPr>
    <w:rPr>
      <w:noProof/>
    </w:rPr>
  </w:style>
  <w:style w:type="paragraph" w:customStyle="1" w:styleId="Default">
    <w:name w:val="Default"/>
    <w:rsid w:val="00952D8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sesat@suseso.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796</Words>
  <Characters>4382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Daniel Soto Toledo</dc:creator>
  <cp:keywords/>
  <dc:description/>
  <cp:lastModifiedBy>Erick Aguilera</cp:lastModifiedBy>
  <cp:revision>5</cp:revision>
  <cp:lastPrinted>2022-02-03T16:42:00Z</cp:lastPrinted>
  <dcterms:created xsi:type="dcterms:W3CDTF">2022-02-03T16:42:00Z</dcterms:created>
  <dcterms:modified xsi:type="dcterms:W3CDTF">2022-02-03T23:34:00Z</dcterms:modified>
</cp:coreProperties>
</file>