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273C" w14:textId="57D7B4E7" w:rsidR="001910DD" w:rsidRDefault="001910DD" w:rsidP="001910DD">
      <w:pPr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PROYECTO DE CIRCULAR QUE </w:t>
      </w:r>
      <w:r w:rsidR="009259A7">
        <w:rPr>
          <w:b/>
          <w:bCs/>
        </w:rPr>
        <w:t>MODIFICA EL TÍTULO IV. GESTIÓN DE RIESGOS FINANCIEROS</w:t>
      </w:r>
      <w:r w:rsidR="00AC56FA">
        <w:rPr>
          <w:b/>
          <w:bCs/>
        </w:rPr>
        <w:t xml:space="preserve"> Y OPERACIONALES</w:t>
      </w:r>
      <w:r w:rsidR="009259A7">
        <w:rPr>
          <w:b/>
          <w:bCs/>
        </w:rPr>
        <w:t xml:space="preserve"> DEL LIBRO VII. ASPECTOS OPERACIONALES Y ADMINISTRATIVOS DEL COMPENDIO DE NORMAS DEL SEGURO DE LA LEY N°16.744.</w:t>
      </w:r>
    </w:p>
    <w:p w14:paraId="7E95E69C" w14:textId="77777777" w:rsidR="001910DD" w:rsidRPr="004F07A0" w:rsidRDefault="001910DD" w:rsidP="001910DD">
      <w:pPr>
        <w:spacing w:before="120" w:after="120"/>
        <w:jc w:val="center"/>
        <w:rPr>
          <w:b/>
        </w:rPr>
      </w:pPr>
    </w:p>
    <w:p w14:paraId="632A8F58" w14:textId="378591D5" w:rsidR="009259A7" w:rsidRDefault="00B10891" w:rsidP="001910DD">
      <w:pPr>
        <w:spacing w:before="120" w:after="120"/>
        <w:jc w:val="both"/>
      </w:pPr>
      <w:r>
        <w:t>El 10 de agosto de 2018, l</w:t>
      </w:r>
      <w:r w:rsidR="00500069">
        <w:t xml:space="preserve">a </w:t>
      </w:r>
      <w:r w:rsidR="009259A7">
        <w:t>Contraloría General de la República</w:t>
      </w:r>
      <w:r w:rsidR="00EA68E7">
        <w:t xml:space="preserve"> (CGR)</w:t>
      </w:r>
      <w:r w:rsidR="00500069">
        <w:t>,</w:t>
      </w:r>
      <w:r w:rsidR="009259A7">
        <w:t xml:space="preserve"> emitió el Dictamen N°20.323</w:t>
      </w:r>
      <w:r w:rsidR="00500069">
        <w:t xml:space="preserve">, </w:t>
      </w:r>
      <w:r w:rsidR="006376EC">
        <w:t xml:space="preserve">que se pronuncia </w:t>
      </w:r>
      <w:r w:rsidR="00500069">
        <w:t xml:space="preserve">sobre las facultades legales </w:t>
      </w:r>
      <w:r w:rsidR="006376EC">
        <w:t xml:space="preserve">que </w:t>
      </w:r>
      <w:r w:rsidR="00500069">
        <w:t xml:space="preserve">esta Superintendencia </w:t>
      </w:r>
      <w:r w:rsidR="006376EC">
        <w:t xml:space="preserve">posee para impartir </w:t>
      </w:r>
      <w:r>
        <w:t xml:space="preserve">las </w:t>
      </w:r>
      <w:r w:rsidR="00500069">
        <w:t>instrucciones</w:t>
      </w:r>
      <w:r>
        <w:t xml:space="preserve"> </w:t>
      </w:r>
      <w:r w:rsidR="00500069">
        <w:t xml:space="preserve">aprobadas mediante </w:t>
      </w:r>
      <w:r w:rsidR="009259A7">
        <w:t>la Circular N°3.286, de 27 de marzo de 2017</w:t>
      </w:r>
      <w:r w:rsidR="00D41636">
        <w:t>,</w:t>
      </w:r>
      <w:r w:rsidR="00500069">
        <w:t xml:space="preserve"> </w:t>
      </w:r>
      <w:r w:rsidR="006376EC">
        <w:t xml:space="preserve">sobre Gobierno Corporativo de las mutualidades de empleadores. </w:t>
      </w:r>
      <w:r w:rsidR="001434DB">
        <w:t xml:space="preserve">Tales instrucciones fueron </w:t>
      </w:r>
      <w:r w:rsidR="00500069">
        <w:t xml:space="preserve">posteriormente incorporadas en el Título I, del Libro VII. Aspectos operacionales y administrativos, del Compendio de Normas del Seguro de la Ley N°16.744. </w:t>
      </w:r>
      <w:r w:rsidR="009259A7">
        <w:t xml:space="preserve"> </w:t>
      </w:r>
    </w:p>
    <w:p w14:paraId="47834A85" w14:textId="11343772" w:rsidR="003171DA" w:rsidRDefault="001434DB" w:rsidP="001910DD">
      <w:pPr>
        <w:spacing w:before="120" w:after="120"/>
        <w:jc w:val="both"/>
      </w:pPr>
      <w:r>
        <w:t>E</w:t>
      </w:r>
      <w:r w:rsidR="00500069">
        <w:t xml:space="preserve">l referido </w:t>
      </w:r>
      <w:r w:rsidR="00B10891">
        <w:t>dictamen precis</w:t>
      </w:r>
      <w:r>
        <w:t>a</w:t>
      </w:r>
      <w:r w:rsidR="00500069">
        <w:t xml:space="preserve"> aquellas materias </w:t>
      </w:r>
      <w:r w:rsidR="003171DA">
        <w:t xml:space="preserve">que pueden ser reguladas a </w:t>
      </w:r>
      <w:r>
        <w:t xml:space="preserve">título </w:t>
      </w:r>
      <w:r w:rsidR="003171DA">
        <w:t xml:space="preserve">de instrucción, </w:t>
      </w:r>
      <w:r w:rsidR="00B10891">
        <w:t xml:space="preserve">por </w:t>
      </w:r>
      <w:r w:rsidR="003171DA">
        <w:t>sustenta</w:t>
      </w:r>
      <w:r w:rsidR="00B10891">
        <w:t>rse</w:t>
      </w:r>
      <w:r w:rsidR="003171DA">
        <w:t xml:space="preserve"> en la interpretación o reiteración de disposiciones legales aplicables a las mutualidades de empleadores o </w:t>
      </w:r>
      <w:r>
        <w:t xml:space="preserve">por </w:t>
      </w:r>
      <w:r w:rsidR="002061BB">
        <w:t>ampararse</w:t>
      </w:r>
      <w:r w:rsidR="003171DA">
        <w:t xml:space="preserve"> en atribuciones </w:t>
      </w:r>
      <w:r w:rsidR="002061BB">
        <w:t xml:space="preserve">que le confieren las </w:t>
      </w:r>
      <w:r w:rsidR="003171DA">
        <w:t xml:space="preserve">Leyes N°16.395 y 16.744. </w:t>
      </w:r>
      <w:r w:rsidR="00B1356F">
        <w:t xml:space="preserve">Entre éstas, se </w:t>
      </w:r>
      <w:r w:rsidR="002061BB">
        <w:t>menciona</w:t>
      </w:r>
      <w:r>
        <w:t>n</w:t>
      </w:r>
      <w:r w:rsidR="002061BB">
        <w:t xml:space="preserve"> </w:t>
      </w:r>
      <w:r w:rsidR="00B1356F">
        <w:t>las relativas a auditorías internas y externas</w:t>
      </w:r>
      <w:r>
        <w:t>,</w:t>
      </w:r>
      <w:r w:rsidR="002061BB">
        <w:t xml:space="preserve"> </w:t>
      </w:r>
      <w:r w:rsidR="00B1356F">
        <w:t xml:space="preserve">la evaluación de la gestión y el plan estratégico de las mutualidades, </w:t>
      </w:r>
      <w:r w:rsidR="002061BB">
        <w:t xml:space="preserve">y </w:t>
      </w:r>
      <w:r>
        <w:t>aquel</w:t>
      </w:r>
      <w:r w:rsidR="00C17A87">
        <w:t>las relacionadas con las políticas, manuales y capacitación de los directores</w:t>
      </w:r>
      <w:r>
        <w:t xml:space="preserve">, </w:t>
      </w:r>
      <w:r w:rsidR="00C17A87">
        <w:t xml:space="preserve">siempre que permitan </w:t>
      </w:r>
      <w:r w:rsidR="002061BB">
        <w:t xml:space="preserve">a esta Superintendencia </w:t>
      </w:r>
      <w:r w:rsidR="00C17A87">
        <w:t>ejercer las funciones que le atribuye el artículo 38 de su ley orgánica.</w:t>
      </w:r>
    </w:p>
    <w:p w14:paraId="72CA008D" w14:textId="5EDEEAB5" w:rsidR="009259A7" w:rsidRDefault="003171DA" w:rsidP="001910DD">
      <w:pPr>
        <w:spacing w:before="120" w:after="120"/>
        <w:jc w:val="both"/>
      </w:pPr>
      <w:r>
        <w:t xml:space="preserve">Como contrapartida, </w:t>
      </w:r>
      <w:r w:rsidR="002061BB">
        <w:t>el alud</w:t>
      </w:r>
      <w:r w:rsidR="00EA68E7">
        <w:t>ido</w:t>
      </w:r>
      <w:r w:rsidR="002061BB">
        <w:t xml:space="preserve"> pronunciamiento </w:t>
      </w:r>
      <w:r>
        <w:t>precis</w:t>
      </w:r>
      <w:r w:rsidR="001434DB">
        <w:t xml:space="preserve">a los aspectos </w:t>
      </w:r>
      <w:r>
        <w:t xml:space="preserve">que </w:t>
      </w:r>
      <w:r w:rsidR="001434DB">
        <w:t>solo pueden ser regulado</w:t>
      </w:r>
      <w:r>
        <w:t>s como buenas prácticas, por carecer esta Superintendencia de facultades legales</w:t>
      </w:r>
      <w:r w:rsidR="00C17A87">
        <w:t xml:space="preserve"> para </w:t>
      </w:r>
      <w:r w:rsidR="001434DB">
        <w:t xml:space="preserve">hacerlo con </w:t>
      </w:r>
      <w:r w:rsidR="00C17A87">
        <w:t>carácter imperativo.</w:t>
      </w:r>
      <w:r>
        <w:t xml:space="preserve"> </w:t>
      </w:r>
      <w:r w:rsidR="002061BB">
        <w:t>Así ocurre, entre otras materias</w:t>
      </w:r>
      <w:r w:rsidR="00A32276">
        <w:t>, con los roles y funciones de los directores</w:t>
      </w:r>
      <w:r w:rsidR="002061BB">
        <w:t>, gerente general y otros cargos de la administración superior, la forma en que deben contratarse los asesores del directorio o sus comités, y la forma y oportunidad de sesionar del directorio.</w:t>
      </w:r>
    </w:p>
    <w:p w14:paraId="2A583F9F" w14:textId="716281DB" w:rsidR="002061BB" w:rsidRDefault="001434DB" w:rsidP="001910DD">
      <w:pPr>
        <w:spacing w:before="120" w:after="120"/>
        <w:jc w:val="both"/>
      </w:pPr>
      <w:r>
        <w:t>En virtud de lo anterior</w:t>
      </w:r>
      <w:r w:rsidR="002061BB">
        <w:t xml:space="preserve">, se dictó la Circular N°3.389, de 25 de octubre de 2018, que modificó el Título I. Gobierno Corporativo </w:t>
      </w:r>
      <w:r w:rsidR="00EA68E7">
        <w:t>y el Título III. Difusión y Transparencia, ambos del citado Libro VII, adecuando sus instrucciones a lo expresado en el citado dictamen.</w:t>
      </w:r>
    </w:p>
    <w:p w14:paraId="5D20EC0B" w14:textId="2683BFE2" w:rsidR="00500069" w:rsidRDefault="00EA68E7" w:rsidP="001910DD">
      <w:pPr>
        <w:spacing w:before="120" w:after="120"/>
        <w:jc w:val="both"/>
      </w:pPr>
      <w:r>
        <w:t>Con el mismo objetivo, el proyecto de circular</w:t>
      </w:r>
      <w:r w:rsidR="006376EC">
        <w:t xml:space="preserve"> que se somete a consulta</w:t>
      </w:r>
      <w:r w:rsidR="001434DB">
        <w:t>,</w:t>
      </w:r>
      <w:r>
        <w:t xml:space="preserve"> modifica las instrucciones contenidas en el Título IV</w:t>
      </w:r>
      <w:r w:rsidR="006376EC">
        <w:t>,</w:t>
      </w:r>
      <w:r>
        <w:t xml:space="preserve"> </w:t>
      </w:r>
      <w:r w:rsidR="006B361C">
        <w:t>sobre Gestión de riesgos financieros y operacionales</w:t>
      </w:r>
      <w:r w:rsidR="006376EC">
        <w:t>,</w:t>
      </w:r>
      <w:r w:rsidR="006B361C">
        <w:t xml:space="preserve"> </w:t>
      </w:r>
      <w:r w:rsidR="003B391F">
        <w:t xml:space="preserve">e incorpora en </w:t>
      </w:r>
      <w:r w:rsidR="006B361C">
        <w:t xml:space="preserve">el </w:t>
      </w:r>
      <w:r w:rsidR="006B361C" w:rsidRPr="006B361C">
        <w:t>Anexo N°1 “Informe de autoevaluación de buenas prácticas de gobierno corporativo”</w:t>
      </w:r>
      <w:r w:rsidR="003B391F">
        <w:t xml:space="preserve">, de la Letra H. Anexos, de su </w:t>
      </w:r>
      <w:r w:rsidR="006B361C">
        <w:t>Título I</w:t>
      </w:r>
      <w:r w:rsidR="00F00205">
        <w:t>,</w:t>
      </w:r>
      <w:r w:rsidR="006B361C">
        <w:t xml:space="preserve"> </w:t>
      </w:r>
      <w:r w:rsidR="003B391F">
        <w:t xml:space="preserve">un set de preguntas </w:t>
      </w:r>
      <w:r w:rsidR="00A32D22">
        <w:t xml:space="preserve">relativas a </w:t>
      </w:r>
      <w:r w:rsidR="006376EC">
        <w:t xml:space="preserve">algunas de las </w:t>
      </w:r>
      <w:r w:rsidR="00A32D22">
        <w:t xml:space="preserve">instrucciones </w:t>
      </w:r>
      <w:r w:rsidR="006376EC">
        <w:t xml:space="preserve">sobre gestión de riesgos </w:t>
      </w:r>
      <w:r w:rsidR="001434DB">
        <w:t xml:space="preserve">que </w:t>
      </w:r>
      <w:r w:rsidR="00A32D22">
        <w:t xml:space="preserve">se reformulan como </w:t>
      </w:r>
      <w:r w:rsidR="003B391F">
        <w:t>buenas pr</w:t>
      </w:r>
      <w:r w:rsidR="00A32D22">
        <w:t>ácticas</w:t>
      </w:r>
      <w:r w:rsidR="006376EC">
        <w:t xml:space="preserve"> o recomendaciones</w:t>
      </w:r>
      <w:r w:rsidR="00A32D22">
        <w:t>.</w:t>
      </w:r>
    </w:p>
    <w:p w14:paraId="68CC3A3C" w14:textId="30161EF0" w:rsidR="00A32D22" w:rsidRDefault="00A32D22" w:rsidP="004D3971">
      <w:pPr>
        <w:jc w:val="both"/>
        <w:rPr>
          <w:lang w:val="es-ES"/>
        </w:rPr>
      </w:pPr>
      <w:r>
        <w:rPr>
          <w:lang w:val="es-ES"/>
        </w:rPr>
        <w:t xml:space="preserve">Por </w:t>
      </w:r>
      <w:r w:rsidR="006376EC">
        <w:rPr>
          <w:lang w:val="es-ES"/>
        </w:rPr>
        <w:t xml:space="preserve">último, se reemplaza </w:t>
      </w:r>
      <w:r w:rsidR="006376EC" w:rsidRPr="006376EC">
        <w:t xml:space="preserve">el Anexo N°17 “Informe de autoevaluación de cumplimiento normativo de gestión de riesgos”, </w:t>
      </w:r>
      <w:r w:rsidR="006376EC">
        <w:t xml:space="preserve">de la Letra C. Anexos, del referido Título IV, con la finalidad de </w:t>
      </w:r>
      <w:r w:rsidR="001434DB">
        <w:t xml:space="preserve">ajustar </w:t>
      </w:r>
      <w:r w:rsidR="006376EC">
        <w:t>la referencia de sus diversos tópicos, a la ubicación que actualmente poseen en dicho título</w:t>
      </w:r>
      <w:r w:rsidR="006376EC" w:rsidRPr="006376EC">
        <w:t>.</w:t>
      </w:r>
    </w:p>
    <w:p w14:paraId="137735D6" w14:textId="77777777" w:rsidR="004D3971" w:rsidRDefault="004D3971" w:rsidP="004D3971">
      <w:pPr>
        <w:jc w:val="both"/>
        <w:rPr>
          <w:lang w:val="es-ES"/>
        </w:rPr>
      </w:pPr>
      <w:r>
        <w:rPr>
          <w:lang w:val="es-ES"/>
        </w:rPr>
        <w:t xml:space="preserve">Para efectuar comentarios al presente proyecto de circular, se solicita enviar el archivo que se adjunta a continuación, al correo electrónico </w:t>
      </w:r>
      <w:hyperlink r:id="rId7" w:history="1">
        <w:r w:rsidRPr="00411FFE">
          <w:rPr>
            <w:rStyle w:val="Hipervnculo"/>
            <w:lang w:val="es-ES"/>
          </w:rPr>
          <w:t>isesa</w:t>
        </w:r>
        <w:r w:rsidRPr="00411FFE">
          <w:rPr>
            <w:rStyle w:val="Hipervnculo"/>
          </w:rPr>
          <w:t>t</w:t>
        </w:r>
        <w:r w:rsidRPr="00411FFE">
          <w:rPr>
            <w:rStyle w:val="Hipervnculo"/>
            <w:lang w:val="es-ES"/>
          </w:rPr>
          <w:t>@suseso.cl</w:t>
        </w:r>
      </w:hyperlink>
      <w:r>
        <w:rPr>
          <w:lang w:val="es-ES"/>
        </w:rPr>
        <w:t>.</w:t>
      </w:r>
    </w:p>
    <w:p w14:paraId="43C5A614" w14:textId="77777777" w:rsidR="004D3971" w:rsidRPr="004D3971" w:rsidRDefault="004D3971" w:rsidP="004D3971">
      <w:pPr>
        <w:spacing w:before="120" w:after="120"/>
        <w:jc w:val="both"/>
        <w:rPr>
          <w:lang w:val="es-ES"/>
        </w:rPr>
      </w:pPr>
    </w:p>
    <w:p w14:paraId="10A562BB" w14:textId="5FCA1E40" w:rsidR="00F455ED" w:rsidRDefault="00F455ED" w:rsidP="00AF04D7">
      <w:pPr>
        <w:spacing w:before="120" w:after="120"/>
        <w:jc w:val="both"/>
        <w:sectPr w:rsidR="00F455ED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F455ED" w14:paraId="3A14F260" w14:textId="77777777" w:rsidTr="006B791A">
        <w:trPr>
          <w:jc w:val="center"/>
        </w:trPr>
        <w:tc>
          <w:tcPr>
            <w:tcW w:w="12328" w:type="dxa"/>
            <w:gridSpan w:val="5"/>
          </w:tcPr>
          <w:p w14:paraId="7262243B" w14:textId="33DC3540" w:rsidR="00F455ED" w:rsidRPr="001854AB" w:rsidRDefault="00057C28" w:rsidP="00F455ED">
            <w:pPr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lastRenderedPageBreak/>
              <w:t xml:space="preserve">OBSERVACIONES AL PROYECTO DE CIRCULAR </w:t>
            </w:r>
            <w:r w:rsidRPr="00C06178">
              <w:rPr>
                <w:b/>
                <w:bCs/>
                <w:sz w:val="28"/>
                <w:szCs w:val="28"/>
              </w:rPr>
              <w:t>MODIFICA EL TÍTULO IV. GESTIÓN DE RIESGOS FINANCIEROS DEL LIBRO VII. ASPECTOS OPERACIONALES Y ADMINISTRATIVOS DEL COMPENDIO DE NORMAS DEL SEGURO DE LA LEY N°16.744</w:t>
            </w:r>
          </w:p>
        </w:tc>
      </w:tr>
      <w:tr w:rsidR="00F455ED" w14:paraId="29B45B0C" w14:textId="77777777" w:rsidTr="006B791A">
        <w:trPr>
          <w:jc w:val="center"/>
        </w:trPr>
        <w:tc>
          <w:tcPr>
            <w:tcW w:w="1696" w:type="dxa"/>
            <w:shd w:val="clear" w:color="auto" w:fill="2F5496" w:themeFill="accent1" w:themeFillShade="BF"/>
          </w:tcPr>
          <w:p w14:paraId="50A32451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1DB510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O </w:t>
            </w:r>
            <w:r w:rsidRPr="001854AB">
              <w:rPr>
                <w:color w:val="FFFFFF" w:themeColor="background1"/>
              </w:rPr>
              <w:t xml:space="preserve"> PROYECTO</w:t>
            </w:r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463ED10E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COMPENDIO, 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72E6EEA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828" w:type="dxa"/>
            <w:shd w:val="clear" w:color="auto" w:fill="2F5496" w:themeFill="accent1" w:themeFillShade="BF"/>
          </w:tcPr>
          <w:p w14:paraId="205F9F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0F6ED37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F455ED" w14:paraId="55043460" w14:textId="77777777" w:rsidTr="006B791A">
        <w:trPr>
          <w:jc w:val="center"/>
        </w:trPr>
        <w:tc>
          <w:tcPr>
            <w:tcW w:w="1696" w:type="dxa"/>
          </w:tcPr>
          <w:p w14:paraId="07159FC6" w14:textId="77777777" w:rsidR="00F455ED" w:rsidRDefault="00F455ED" w:rsidP="006B791A">
            <w:r>
              <w:t>Ejemplo:</w:t>
            </w:r>
          </w:p>
          <w:p w14:paraId="639F1C2F" w14:textId="77777777" w:rsidR="00F455ED" w:rsidRDefault="00F455ED" w:rsidP="006B791A"/>
          <w:p w14:paraId="6A092C2F" w14:textId="77777777" w:rsidR="00F455ED" w:rsidRDefault="00F455ED" w:rsidP="006B791A"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7CF1039A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452426CD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</w:p>
          <w:p w14:paraId="16F16A0E" w14:textId="77777777" w:rsidR="00F455ED" w:rsidRDefault="00F455ED" w:rsidP="006B791A"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467E5DEC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8E60178" w14:textId="77777777" w:rsidR="00F455ED" w:rsidRPr="00BD23B6" w:rsidRDefault="00F455ED" w:rsidP="006B791A">
            <w:pPr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2AD35786" w14:textId="77777777" w:rsidR="00F455ED" w:rsidRDefault="00F455ED" w:rsidP="006B791A"/>
        </w:tc>
        <w:tc>
          <w:tcPr>
            <w:tcW w:w="2835" w:type="dxa"/>
          </w:tcPr>
          <w:p w14:paraId="08D17E22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67E098A5" w14:textId="77777777" w:rsidR="00F455ED" w:rsidRDefault="00F455ED" w:rsidP="006B791A">
            <w:r w:rsidRPr="00BD23B6">
              <w:rPr>
                <w:color w:val="808080" w:themeColor="background1" w:themeShade="80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</w:t>
            </w:r>
            <w:r w:rsidRPr="00BD23B6">
              <w:rPr>
                <w:color w:val="808080" w:themeColor="background1" w:themeShade="80"/>
              </w:rPr>
              <w:lastRenderedPageBreak/>
              <w:t>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2E4CD7EC" w14:textId="77777777" w:rsidR="00F455ED" w:rsidRDefault="00F455ED" w:rsidP="006B791A"/>
        </w:tc>
      </w:tr>
      <w:tr w:rsidR="00F455ED" w14:paraId="04D00ADE" w14:textId="77777777" w:rsidTr="006B791A">
        <w:trPr>
          <w:jc w:val="center"/>
        </w:trPr>
        <w:tc>
          <w:tcPr>
            <w:tcW w:w="1696" w:type="dxa"/>
          </w:tcPr>
          <w:p w14:paraId="1D5A3732" w14:textId="77777777" w:rsidR="00F455ED" w:rsidRDefault="00F455ED" w:rsidP="006B791A"/>
        </w:tc>
        <w:tc>
          <w:tcPr>
            <w:tcW w:w="1985" w:type="dxa"/>
          </w:tcPr>
          <w:p w14:paraId="2904375B" w14:textId="77777777" w:rsidR="00F455ED" w:rsidRDefault="00F455ED" w:rsidP="006B791A"/>
        </w:tc>
        <w:tc>
          <w:tcPr>
            <w:tcW w:w="1984" w:type="dxa"/>
          </w:tcPr>
          <w:p w14:paraId="21CC6EC2" w14:textId="77777777" w:rsidR="00F455ED" w:rsidRDefault="00F455ED" w:rsidP="006B791A"/>
        </w:tc>
        <w:tc>
          <w:tcPr>
            <w:tcW w:w="2835" w:type="dxa"/>
          </w:tcPr>
          <w:p w14:paraId="3AC1D401" w14:textId="77777777" w:rsidR="00F455ED" w:rsidRDefault="00F455ED" w:rsidP="006B791A"/>
        </w:tc>
        <w:tc>
          <w:tcPr>
            <w:tcW w:w="3828" w:type="dxa"/>
          </w:tcPr>
          <w:p w14:paraId="38EF07CD" w14:textId="77777777" w:rsidR="00F455ED" w:rsidRDefault="00F455ED" w:rsidP="006B791A"/>
          <w:p w14:paraId="450B0A5B" w14:textId="77777777" w:rsidR="00F455ED" w:rsidRDefault="00F455ED" w:rsidP="006B791A"/>
          <w:p w14:paraId="53991874" w14:textId="77777777" w:rsidR="00F455ED" w:rsidRDefault="00F455ED" w:rsidP="006B791A"/>
          <w:p w14:paraId="334BFA5A" w14:textId="77777777" w:rsidR="00F455ED" w:rsidRDefault="00F455ED" w:rsidP="006B791A"/>
        </w:tc>
      </w:tr>
      <w:tr w:rsidR="00F455ED" w14:paraId="4D762B4F" w14:textId="77777777" w:rsidTr="006B791A">
        <w:trPr>
          <w:jc w:val="center"/>
        </w:trPr>
        <w:tc>
          <w:tcPr>
            <w:tcW w:w="1696" w:type="dxa"/>
          </w:tcPr>
          <w:p w14:paraId="3C3D94A8" w14:textId="77777777" w:rsidR="00F455ED" w:rsidRDefault="00F455ED" w:rsidP="006B791A"/>
        </w:tc>
        <w:tc>
          <w:tcPr>
            <w:tcW w:w="1985" w:type="dxa"/>
          </w:tcPr>
          <w:p w14:paraId="217CB8BD" w14:textId="77777777" w:rsidR="00F455ED" w:rsidRDefault="00F455ED" w:rsidP="006B791A"/>
        </w:tc>
        <w:tc>
          <w:tcPr>
            <w:tcW w:w="1984" w:type="dxa"/>
          </w:tcPr>
          <w:p w14:paraId="48C7FDFB" w14:textId="77777777" w:rsidR="00F455ED" w:rsidRDefault="00F455ED" w:rsidP="006B791A"/>
        </w:tc>
        <w:tc>
          <w:tcPr>
            <w:tcW w:w="2835" w:type="dxa"/>
          </w:tcPr>
          <w:p w14:paraId="3B675F6C" w14:textId="77777777" w:rsidR="00F455ED" w:rsidRDefault="00F455ED" w:rsidP="006B791A"/>
        </w:tc>
        <w:tc>
          <w:tcPr>
            <w:tcW w:w="3828" w:type="dxa"/>
          </w:tcPr>
          <w:p w14:paraId="07C498E4" w14:textId="77777777" w:rsidR="00F455ED" w:rsidRDefault="00F455ED" w:rsidP="006B791A"/>
          <w:p w14:paraId="1C2A1076" w14:textId="77777777" w:rsidR="00F455ED" w:rsidRDefault="00F455ED" w:rsidP="006B791A"/>
          <w:p w14:paraId="14C64A19" w14:textId="77777777" w:rsidR="00F455ED" w:rsidRDefault="00F455ED" w:rsidP="006B791A"/>
          <w:p w14:paraId="161562A6" w14:textId="77777777" w:rsidR="00F455ED" w:rsidRDefault="00F455ED" w:rsidP="006B791A"/>
        </w:tc>
      </w:tr>
      <w:tr w:rsidR="00F455ED" w14:paraId="53D6CDBC" w14:textId="77777777" w:rsidTr="006B791A">
        <w:trPr>
          <w:jc w:val="center"/>
        </w:trPr>
        <w:tc>
          <w:tcPr>
            <w:tcW w:w="1696" w:type="dxa"/>
          </w:tcPr>
          <w:p w14:paraId="49684798" w14:textId="77777777" w:rsidR="00F455ED" w:rsidRDefault="00F455ED" w:rsidP="006B791A"/>
        </w:tc>
        <w:tc>
          <w:tcPr>
            <w:tcW w:w="1985" w:type="dxa"/>
          </w:tcPr>
          <w:p w14:paraId="408F8083" w14:textId="77777777" w:rsidR="00F455ED" w:rsidRDefault="00F455ED" w:rsidP="006B791A"/>
        </w:tc>
        <w:tc>
          <w:tcPr>
            <w:tcW w:w="1984" w:type="dxa"/>
          </w:tcPr>
          <w:p w14:paraId="5C4209D0" w14:textId="77777777" w:rsidR="00F455ED" w:rsidRDefault="00F455ED" w:rsidP="006B791A"/>
        </w:tc>
        <w:tc>
          <w:tcPr>
            <w:tcW w:w="2835" w:type="dxa"/>
          </w:tcPr>
          <w:p w14:paraId="6C7F63CD" w14:textId="77777777" w:rsidR="00F455ED" w:rsidRDefault="00F455ED" w:rsidP="006B791A"/>
        </w:tc>
        <w:tc>
          <w:tcPr>
            <w:tcW w:w="3828" w:type="dxa"/>
          </w:tcPr>
          <w:p w14:paraId="6E24973F" w14:textId="77777777" w:rsidR="00F455ED" w:rsidRDefault="00F455ED" w:rsidP="006B791A"/>
          <w:p w14:paraId="0CCB3BC2" w14:textId="77777777" w:rsidR="00F455ED" w:rsidRDefault="00F455ED" w:rsidP="006B791A"/>
          <w:p w14:paraId="6BC03C4B" w14:textId="77777777" w:rsidR="00F455ED" w:rsidRDefault="00F455ED" w:rsidP="006B791A"/>
          <w:p w14:paraId="48D5F9A3" w14:textId="77777777" w:rsidR="00F455ED" w:rsidRDefault="00F455ED" w:rsidP="006B791A"/>
        </w:tc>
      </w:tr>
      <w:tr w:rsidR="00F455ED" w14:paraId="36C3226B" w14:textId="77777777" w:rsidTr="006B791A">
        <w:trPr>
          <w:jc w:val="center"/>
        </w:trPr>
        <w:tc>
          <w:tcPr>
            <w:tcW w:w="1696" w:type="dxa"/>
          </w:tcPr>
          <w:p w14:paraId="729F983C" w14:textId="77777777" w:rsidR="00F455ED" w:rsidRDefault="00F455ED" w:rsidP="006B791A"/>
        </w:tc>
        <w:tc>
          <w:tcPr>
            <w:tcW w:w="1985" w:type="dxa"/>
          </w:tcPr>
          <w:p w14:paraId="6FA0280F" w14:textId="77777777" w:rsidR="00F455ED" w:rsidRDefault="00F455ED" w:rsidP="006B791A"/>
        </w:tc>
        <w:tc>
          <w:tcPr>
            <w:tcW w:w="1984" w:type="dxa"/>
          </w:tcPr>
          <w:p w14:paraId="6E2DC7CD" w14:textId="77777777" w:rsidR="00F455ED" w:rsidRDefault="00F455ED" w:rsidP="006B791A"/>
        </w:tc>
        <w:tc>
          <w:tcPr>
            <w:tcW w:w="2835" w:type="dxa"/>
          </w:tcPr>
          <w:p w14:paraId="6D56E327" w14:textId="77777777" w:rsidR="00F455ED" w:rsidRDefault="00F455ED" w:rsidP="006B791A"/>
        </w:tc>
        <w:tc>
          <w:tcPr>
            <w:tcW w:w="3828" w:type="dxa"/>
          </w:tcPr>
          <w:p w14:paraId="39554DB9" w14:textId="77777777" w:rsidR="00F455ED" w:rsidRDefault="00F455ED" w:rsidP="006B791A"/>
          <w:p w14:paraId="1893841B" w14:textId="77777777" w:rsidR="00F455ED" w:rsidRDefault="00F455ED" w:rsidP="006B791A"/>
          <w:p w14:paraId="6E3FC7BD" w14:textId="77777777" w:rsidR="00F455ED" w:rsidRDefault="00F455ED" w:rsidP="006B791A"/>
          <w:p w14:paraId="1FDE85E3" w14:textId="77777777" w:rsidR="00F455ED" w:rsidRDefault="00F455ED" w:rsidP="006B791A"/>
        </w:tc>
      </w:tr>
      <w:tr w:rsidR="00F455ED" w14:paraId="13C41C26" w14:textId="77777777" w:rsidTr="006B791A">
        <w:trPr>
          <w:jc w:val="center"/>
        </w:trPr>
        <w:tc>
          <w:tcPr>
            <w:tcW w:w="1696" w:type="dxa"/>
          </w:tcPr>
          <w:p w14:paraId="770C2B40" w14:textId="77777777" w:rsidR="00F455ED" w:rsidRDefault="00F455ED" w:rsidP="006B791A"/>
        </w:tc>
        <w:tc>
          <w:tcPr>
            <w:tcW w:w="1985" w:type="dxa"/>
          </w:tcPr>
          <w:p w14:paraId="28E421EC" w14:textId="77777777" w:rsidR="00F455ED" w:rsidRDefault="00F455ED" w:rsidP="006B791A"/>
        </w:tc>
        <w:tc>
          <w:tcPr>
            <w:tcW w:w="1984" w:type="dxa"/>
          </w:tcPr>
          <w:p w14:paraId="52F63552" w14:textId="77777777" w:rsidR="00F455ED" w:rsidRDefault="00F455ED" w:rsidP="006B791A"/>
        </w:tc>
        <w:tc>
          <w:tcPr>
            <w:tcW w:w="2835" w:type="dxa"/>
          </w:tcPr>
          <w:p w14:paraId="4A687BC8" w14:textId="77777777" w:rsidR="00F455ED" w:rsidRDefault="00F455ED" w:rsidP="006B791A"/>
        </w:tc>
        <w:tc>
          <w:tcPr>
            <w:tcW w:w="3828" w:type="dxa"/>
          </w:tcPr>
          <w:p w14:paraId="25617E33" w14:textId="77777777" w:rsidR="00F455ED" w:rsidRDefault="00F455ED" w:rsidP="006B791A"/>
          <w:p w14:paraId="28333C80" w14:textId="77777777" w:rsidR="00F455ED" w:rsidRDefault="00F455ED" w:rsidP="006B791A"/>
          <w:p w14:paraId="50A4C966" w14:textId="77777777" w:rsidR="00F455ED" w:rsidRDefault="00F455ED" w:rsidP="006B791A"/>
          <w:p w14:paraId="5CCF3228" w14:textId="77777777" w:rsidR="00F455ED" w:rsidRDefault="00F455ED" w:rsidP="006B791A"/>
        </w:tc>
      </w:tr>
    </w:tbl>
    <w:p w14:paraId="0B18AED0" w14:textId="0F5024ED" w:rsidR="00F455ED" w:rsidRDefault="00F455ED" w:rsidP="00B64BF5">
      <w:pPr>
        <w:spacing w:before="120" w:after="120"/>
        <w:ind w:left="425"/>
        <w:jc w:val="both"/>
      </w:pPr>
    </w:p>
    <w:sectPr w:rsidR="00F455ED" w:rsidSect="00F455E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6649" w14:textId="77777777" w:rsidR="0046225B" w:rsidRDefault="0046225B" w:rsidP="00807ED0">
      <w:pPr>
        <w:spacing w:after="0" w:line="240" w:lineRule="auto"/>
      </w:pPr>
      <w:r>
        <w:separator/>
      </w:r>
    </w:p>
  </w:endnote>
  <w:endnote w:type="continuationSeparator" w:id="0">
    <w:p w14:paraId="48951E79" w14:textId="77777777" w:rsidR="0046225B" w:rsidRDefault="0046225B" w:rsidP="0080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755867"/>
      <w:docPartObj>
        <w:docPartGallery w:val="Page Numbers (Bottom of Page)"/>
        <w:docPartUnique/>
      </w:docPartObj>
    </w:sdtPr>
    <w:sdtEndPr/>
    <w:sdtContent>
      <w:p w14:paraId="1B2F0C2A" w14:textId="13DC7260" w:rsidR="00807ED0" w:rsidRDefault="00807ED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4DB" w:rsidRPr="001434DB">
          <w:rPr>
            <w:noProof/>
            <w:lang w:val="es-ES"/>
          </w:rPr>
          <w:t>1</w:t>
        </w:r>
        <w:r>
          <w:fldChar w:fldCharType="end"/>
        </w:r>
      </w:p>
    </w:sdtContent>
  </w:sdt>
  <w:p w14:paraId="398B8749" w14:textId="77777777" w:rsidR="00807ED0" w:rsidRDefault="00807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1A98" w14:textId="77777777" w:rsidR="0046225B" w:rsidRDefault="0046225B" w:rsidP="00807ED0">
      <w:pPr>
        <w:spacing w:after="0" w:line="240" w:lineRule="auto"/>
      </w:pPr>
      <w:r>
        <w:separator/>
      </w:r>
    </w:p>
  </w:footnote>
  <w:footnote w:type="continuationSeparator" w:id="0">
    <w:p w14:paraId="1DC79493" w14:textId="77777777" w:rsidR="0046225B" w:rsidRDefault="0046225B" w:rsidP="0080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E599" w14:textId="299AA81D" w:rsidR="00AF04D7" w:rsidRDefault="00AF04D7" w:rsidP="00AF04D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7216" behindDoc="0" locked="0" layoutInCell="1" allowOverlap="1" wp14:anchorId="056F5A26" wp14:editId="1BE207D9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7187E529" w14:textId="77777777" w:rsidR="00AF04D7" w:rsidRDefault="00AF04D7" w:rsidP="00AF04D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4AAA7177" w14:textId="753912FF" w:rsidR="00AF04D7" w:rsidRPr="00AF04D7" w:rsidRDefault="00AF04D7">
    <w:pPr>
      <w:pStyle w:val="Encabezado"/>
      <w:rPr>
        <w:lang w:val="es-ES"/>
      </w:rPr>
    </w:pPr>
  </w:p>
  <w:p w14:paraId="0E010513" w14:textId="77777777" w:rsidR="00AF04D7" w:rsidRDefault="00AF04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4FF"/>
    <w:multiLevelType w:val="hybridMultilevel"/>
    <w:tmpl w:val="F6FCD5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04422"/>
    <w:multiLevelType w:val="hybridMultilevel"/>
    <w:tmpl w:val="4DEE3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32D3A"/>
    <w:multiLevelType w:val="hybridMultilevel"/>
    <w:tmpl w:val="989AB3A8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43346CB"/>
    <w:multiLevelType w:val="hybridMultilevel"/>
    <w:tmpl w:val="2522FCDE"/>
    <w:lvl w:ilvl="0" w:tplc="340A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65B0F69"/>
    <w:multiLevelType w:val="hybridMultilevel"/>
    <w:tmpl w:val="2118055A"/>
    <w:lvl w:ilvl="0" w:tplc="8CB8FF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14AB6"/>
    <w:multiLevelType w:val="hybridMultilevel"/>
    <w:tmpl w:val="E24067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62BAA"/>
    <w:multiLevelType w:val="hybridMultilevel"/>
    <w:tmpl w:val="CB6475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9C"/>
    <w:rsid w:val="00057C28"/>
    <w:rsid w:val="00084638"/>
    <w:rsid w:val="00085F6E"/>
    <w:rsid w:val="00107E1D"/>
    <w:rsid w:val="00124062"/>
    <w:rsid w:val="001434DB"/>
    <w:rsid w:val="00160560"/>
    <w:rsid w:val="00183CC0"/>
    <w:rsid w:val="001910DD"/>
    <w:rsid w:val="00197805"/>
    <w:rsid w:val="002061BB"/>
    <w:rsid w:val="00273D5B"/>
    <w:rsid w:val="002A0018"/>
    <w:rsid w:val="002A71C9"/>
    <w:rsid w:val="002E1694"/>
    <w:rsid w:val="002F3EE4"/>
    <w:rsid w:val="002F5BEA"/>
    <w:rsid w:val="003171DA"/>
    <w:rsid w:val="003510DD"/>
    <w:rsid w:val="00397EB0"/>
    <w:rsid w:val="003B391F"/>
    <w:rsid w:val="003C5C11"/>
    <w:rsid w:val="003D236F"/>
    <w:rsid w:val="004222C1"/>
    <w:rsid w:val="0046225B"/>
    <w:rsid w:val="004A175F"/>
    <w:rsid w:val="004B6D96"/>
    <w:rsid w:val="004C514E"/>
    <w:rsid w:val="004D3971"/>
    <w:rsid w:val="004E5A19"/>
    <w:rsid w:val="004F38DF"/>
    <w:rsid w:val="00500069"/>
    <w:rsid w:val="005133CE"/>
    <w:rsid w:val="00521CE9"/>
    <w:rsid w:val="00585A48"/>
    <w:rsid w:val="006376EC"/>
    <w:rsid w:val="006A1900"/>
    <w:rsid w:val="006B361C"/>
    <w:rsid w:val="006F330D"/>
    <w:rsid w:val="007B0E0C"/>
    <w:rsid w:val="007B2F73"/>
    <w:rsid w:val="007E7BC1"/>
    <w:rsid w:val="00807ED0"/>
    <w:rsid w:val="00870694"/>
    <w:rsid w:val="008A503B"/>
    <w:rsid w:val="008C4414"/>
    <w:rsid w:val="008D1065"/>
    <w:rsid w:val="008F10DB"/>
    <w:rsid w:val="0091712F"/>
    <w:rsid w:val="009259A7"/>
    <w:rsid w:val="0092657C"/>
    <w:rsid w:val="00983360"/>
    <w:rsid w:val="00983BA0"/>
    <w:rsid w:val="00990B99"/>
    <w:rsid w:val="009E3A80"/>
    <w:rsid w:val="009E3F44"/>
    <w:rsid w:val="009E5760"/>
    <w:rsid w:val="00A071EE"/>
    <w:rsid w:val="00A237EC"/>
    <w:rsid w:val="00A32276"/>
    <w:rsid w:val="00A32D22"/>
    <w:rsid w:val="00A36E4E"/>
    <w:rsid w:val="00A45B9C"/>
    <w:rsid w:val="00A83763"/>
    <w:rsid w:val="00AC56FA"/>
    <w:rsid w:val="00AF04D7"/>
    <w:rsid w:val="00B10891"/>
    <w:rsid w:val="00B1356F"/>
    <w:rsid w:val="00B317D3"/>
    <w:rsid w:val="00B35DB0"/>
    <w:rsid w:val="00B60C3C"/>
    <w:rsid w:val="00B64BF5"/>
    <w:rsid w:val="00BC2129"/>
    <w:rsid w:val="00C17A87"/>
    <w:rsid w:val="00C238D3"/>
    <w:rsid w:val="00D41636"/>
    <w:rsid w:val="00D426DE"/>
    <w:rsid w:val="00D74401"/>
    <w:rsid w:val="00D9613F"/>
    <w:rsid w:val="00DB123A"/>
    <w:rsid w:val="00DB1DEF"/>
    <w:rsid w:val="00DD7884"/>
    <w:rsid w:val="00E358D2"/>
    <w:rsid w:val="00E96E39"/>
    <w:rsid w:val="00EA68E7"/>
    <w:rsid w:val="00F00205"/>
    <w:rsid w:val="00F353C0"/>
    <w:rsid w:val="00F4243D"/>
    <w:rsid w:val="00F44745"/>
    <w:rsid w:val="00F455ED"/>
    <w:rsid w:val="00F77C3A"/>
    <w:rsid w:val="00F85D76"/>
    <w:rsid w:val="00FA3D51"/>
    <w:rsid w:val="00FA4566"/>
    <w:rsid w:val="00FA4FAB"/>
    <w:rsid w:val="00F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20B2"/>
  <w15:docId w15:val="{92523DCF-9FF2-4FF9-BA18-87A701B9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691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Fabián Ramirez</dc:creator>
  <cp:lastModifiedBy>Valentina Nehgne</cp:lastModifiedBy>
  <cp:revision>7</cp:revision>
  <cp:lastPrinted>2021-11-16T21:52:00Z</cp:lastPrinted>
  <dcterms:created xsi:type="dcterms:W3CDTF">2021-11-16T21:09:00Z</dcterms:created>
  <dcterms:modified xsi:type="dcterms:W3CDTF">2021-11-17T20:59:00Z</dcterms:modified>
</cp:coreProperties>
</file>