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4951842A" w14:textId="77777777" w:rsidR="00E73406" w:rsidRDefault="001854AB" w:rsidP="0076578F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</w:t>
            </w:r>
          </w:p>
          <w:p w14:paraId="69BF4747" w14:textId="03D8072E" w:rsidR="001854AB" w:rsidRPr="001854AB" w:rsidRDefault="00E73406" w:rsidP="0076578F">
            <w:pPr>
              <w:jc w:val="center"/>
              <w:rPr>
                <w:b/>
                <w:bCs/>
                <w:sz w:val="28"/>
                <w:szCs w:val="28"/>
              </w:rPr>
            </w:pPr>
            <w:r w:rsidRPr="00E73406">
              <w:rPr>
                <w:b/>
                <w:bCs/>
                <w:sz w:val="28"/>
                <w:szCs w:val="28"/>
              </w:rPr>
              <w:t>MODIFICA INSTRUCCIONES SOBRE ADMINISTRACIÓN DEL RIESGO DE LIQUIDEZ CONTENIDAS EN LA CIRCULAR N°2.502, DE 2008 Y SUS MODIFICACIONES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AB"/>
    <w:rsid w:val="001854AB"/>
    <w:rsid w:val="00317709"/>
    <w:rsid w:val="00693F1B"/>
    <w:rsid w:val="0076578F"/>
    <w:rsid w:val="0090276D"/>
    <w:rsid w:val="00A90367"/>
    <w:rsid w:val="00AE7343"/>
    <w:rsid w:val="00D960DC"/>
    <w:rsid w:val="00E73406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chartTrackingRefBased/>
  <w15:docId w15:val="{121009BE-7EC3-4B6E-99D6-08760E7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dc:description/>
  <cp:lastModifiedBy>ALVAREZ ENRIQUEZ JUAN P</cp:lastModifiedBy>
  <cp:revision>2</cp:revision>
  <dcterms:created xsi:type="dcterms:W3CDTF">2021-04-13T16:40:00Z</dcterms:created>
  <dcterms:modified xsi:type="dcterms:W3CDTF">2021-04-13T16:40:00Z</dcterms:modified>
</cp:coreProperties>
</file>