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2395E" w:rsidRPr="00C55A90" w:rsidRDefault="00E0168E">
      <w:pPr>
        <w:spacing w:after="0" w:line="240" w:lineRule="auto"/>
        <w:jc w:val="center"/>
        <w:rPr>
          <w:rFonts w:asciiTheme="majorHAnsi" w:hAnsiTheme="majorHAnsi"/>
          <w:b/>
          <w:sz w:val="24"/>
          <w:szCs w:val="24"/>
        </w:rPr>
      </w:pPr>
      <w:r>
        <w:rPr>
          <w:rFonts w:asciiTheme="majorHAnsi" w:hAnsiTheme="majorHAnsi"/>
          <w:b/>
          <w:sz w:val="24"/>
          <w:szCs w:val="24"/>
        </w:rPr>
        <w:t>ANEXO N° 15</w:t>
      </w:r>
    </w:p>
    <w:p w:rsidR="00D2395E" w:rsidRPr="00C55A90" w:rsidRDefault="00135B86">
      <w:pPr>
        <w:spacing w:after="0" w:line="240" w:lineRule="auto"/>
        <w:jc w:val="center"/>
        <w:rPr>
          <w:rFonts w:asciiTheme="majorHAnsi" w:hAnsiTheme="majorHAnsi"/>
          <w:sz w:val="24"/>
          <w:szCs w:val="24"/>
        </w:rPr>
      </w:pPr>
      <w:r>
        <w:rPr>
          <w:rFonts w:asciiTheme="majorHAnsi" w:hAnsiTheme="majorHAnsi"/>
          <w:b/>
          <w:sz w:val="24"/>
          <w:szCs w:val="24"/>
        </w:rPr>
        <w:t>Plan Nacional de Erradicación de la S</w:t>
      </w:r>
      <w:r w:rsidR="004F3DF0" w:rsidRPr="00C55A90">
        <w:rPr>
          <w:rFonts w:asciiTheme="majorHAnsi" w:hAnsiTheme="majorHAnsi"/>
          <w:b/>
          <w:sz w:val="24"/>
          <w:szCs w:val="24"/>
        </w:rPr>
        <w:t>ilicosis (PLANESI).</w:t>
      </w:r>
    </w:p>
    <w:p w:rsidR="00D2395E" w:rsidRPr="00656E98" w:rsidRDefault="00656E98">
      <w:pPr>
        <w:spacing w:line="240" w:lineRule="auto"/>
        <w:jc w:val="center"/>
        <w:rPr>
          <w:rFonts w:asciiTheme="majorHAnsi" w:hAnsiTheme="majorHAnsi"/>
          <w:b/>
          <w:sz w:val="24"/>
          <w:szCs w:val="24"/>
        </w:rPr>
      </w:pPr>
      <w:r>
        <w:rPr>
          <w:rFonts w:asciiTheme="majorHAnsi" w:hAnsiTheme="majorHAnsi"/>
          <w:b/>
          <w:sz w:val="24"/>
          <w:szCs w:val="24"/>
        </w:rPr>
        <w:t xml:space="preserve"> (</w:t>
      </w:r>
      <w:r w:rsidRPr="00656E98">
        <w:rPr>
          <w:rFonts w:asciiTheme="majorHAnsi" w:hAnsiTheme="majorHAnsi"/>
          <w:b/>
          <w:szCs w:val="24"/>
        </w:rPr>
        <w:t>Pág. 1/4</w:t>
      </w:r>
      <w:r w:rsidR="004F3DF0" w:rsidRPr="00656E98">
        <w:rPr>
          <w:rFonts w:asciiTheme="majorHAnsi" w:hAnsiTheme="majorHAnsi"/>
          <w:b/>
          <w:szCs w:val="24"/>
        </w:rPr>
        <w:t>)</w:t>
      </w:r>
    </w:p>
    <w:p w:rsidR="00D2395E" w:rsidRPr="003F1E28" w:rsidRDefault="004F3DF0">
      <w:pPr>
        <w:spacing w:line="240" w:lineRule="auto"/>
        <w:jc w:val="both"/>
        <w:rPr>
          <w:rFonts w:asciiTheme="majorHAnsi" w:hAnsiTheme="majorHAnsi"/>
          <w:szCs w:val="18"/>
        </w:rPr>
      </w:pPr>
      <w:r w:rsidRPr="003F1E28">
        <w:rPr>
          <w:rFonts w:asciiTheme="majorHAnsi" w:hAnsiTheme="majorHAnsi"/>
          <w:b/>
          <w:szCs w:val="18"/>
        </w:rPr>
        <w:t xml:space="preserve">Tabla N°1. </w:t>
      </w:r>
      <w:r w:rsidR="005C678D" w:rsidRPr="003F1E28">
        <w:rPr>
          <w:rFonts w:asciiTheme="majorHAnsi" w:hAnsiTheme="majorHAnsi"/>
          <w:b/>
          <w:szCs w:val="18"/>
        </w:rPr>
        <w:t xml:space="preserve">Estadígrafo Número de Entidades Empleadoras a Nivel Nacional por tamaño </w:t>
      </w:r>
      <w:r w:rsidRPr="003F1E28">
        <w:rPr>
          <w:rFonts w:asciiTheme="majorHAnsi" w:hAnsiTheme="majorHAnsi"/>
          <w:b/>
          <w:szCs w:val="18"/>
        </w:rPr>
        <w:t>y por actividad económica</w:t>
      </w:r>
      <w:r w:rsidRPr="003F1E28">
        <w:rPr>
          <w:rFonts w:asciiTheme="majorHAnsi" w:hAnsiTheme="majorHAnsi"/>
          <w:szCs w:val="18"/>
        </w:rPr>
        <w:t xml:space="preserve"> </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Cuadro N°1 </w:t>
      </w:r>
      <w:r w:rsidR="00B079B4" w:rsidRPr="005C678D">
        <w:rPr>
          <w:rFonts w:asciiTheme="majorHAnsi" w:eastAsia="Times New Roman" w:hAnsiTheme="majorHAnsi" w:cs="Arial"/>
          <w:color w:val="222222"/>
          <w:sz w:val="18"/>
          <w:szCs w:val="18"/>
        </w:rPr>
        <w:t xml:space="preserve">ENTIDADES </w:t>
      </w:r>
      <w:proofErr w:type="gramStart"/>
      <w:r w:rsidR="00B079B4" w:rsidRPr="005C678D">
        <w:rPr>
          <w:rFonts w:asciiTheme="majorHAnsi" w:eastAsia="Times New Roman" w:hAnsiTheme="majorHAnsi" w:cs="Arial"/>
          <w:color w:val="222222"/>
          <w:sz w:val="18"/>
          <w:szCs w:val="18"/>
        </w:rPr>
        <w:t xml:space="preserve">EMPLEADORAS </w:t>
      </w:r>
      <w:r w:rsidRPr="005C678D">
        <w:rPr>
          <w:rFonts w:asciiTheme="majorHAnsi" w:eastAsia="Times New Roman" w:hAnsiTheme="majorHAnsi" w:cs="Arial"/>
          <w:color w:val="222222"/>
          <w:sz w:val="18"/>
          <w:szCs w:val="18"/>
        </w:rPr>
        <w:t xml:space="preserve"> CON</w:t>
      </w:r>
      <w:proofErr w:type="gramEnd"/>
      <w:r w:rsidRPr="005C678D">
        <w:rPr>
          <w:rFonts w:asciiTheme="majorHAnsi" w:eastAsia="Times New Roman" w:hAnsiTheme="majorHAnsi" w:cs="Arial"/>
          <w:color w:val="222222"/>
          <w:sz w:val="18"/>
          <w:szCs w:val="18"/>
        </w:rPr>
        <w:t xml:space="preserve"> POSIBLE PRESENCIA DE SÍLICE (UNIVERSO)</w:t>
      </w:r>
    </w:p>
    <w:p w:rsidR="004F3DF0" w:rsidRPr="005C678D" w:rsidRDefault="004F3DF0"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Cada organismo administrador debe mantener actualizado su registro de entidades empleadoras pertenecientes a los 56 rubros silicogenos, este listado es información que se reporta a sistema GRIS.</w:t>
      </w:r>
    </w:p>
    <w:p w:rsidR="004F3DF0" w:rsidRPr="005C678D" w:rsidRDefault="004F3DF0"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Se considera Universo fojas “0” el listado GRIS 2017 de entidades empleadoras pertenecientes a los 56 rubros silicogenos, que mantienen adherencia o afiliación en el organismo administrador.</w:t>
      </w:r>
    </w:p>
    <w:p w:rsidR="00873889" w:rsidRPr="005C678D" w:rsidRDefault="00873889"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La </w:t>
      </w:r>
      <w:r w:rsidR="004F3DF0" w:rsidRPr="005C678D">
        <w:rPr>
          <w:rFonts w:asciiTheme="majorHAnsi" w:eastAsia="Times New Roman" w:hAnsiTheme="majorHAnsi" w:cs="Arial"/>
          <w:color w:val="222222"/>
          <w:sz w:val="18"/>
          <w:szCs w:val="18"/>
        </w:rPr>
        <w:t xml:space="preserve">actualización de universo de entidades empleadoras, se </w:t>
      </w:r>
      <w:r w:rsidRPr="005C678D">
        <w:rPr>
          <w:rFonts w:asciiTheme="majorHAnsi" w:eastAsia="Times New Roman" w:hAnsiTheme="majorHAnsi" w:cs="Arial"/>
          <w:color w:val="222222"/>
          <w:sz w:val="18"/>
          <w:szCs w:val="18"/>
        </w:rPr>
        <w:t xml:space="preserve">realizará contra el universo GRIS </w:t>
      </w:r>
      <w:r w:rsidR="004F3DF0" w:rsidRPr="005C678D">
        <w:rPr>
          <w:rFonts w:asciiTheme="majorHAnsi" w:eastAsia="Times New Roman" w:hAnsiTheme="majorHAnsi" w:cs="Arial"/>
          <w:color w:val="222222"/>
          <w:sz w:val="18"/>
          <w:szCs w:val="18"/>
        </w:rPr>
        <w:t xml:space="preserve">del  1° de marzo </w:t>
      </w:r>
      <w:r w:rsidRPr="005C678D">
        <w:rPr>
          <w:rFonts w:asciiTheme="majorHAnsi" w:eastAsia="Times New Roman" w:hAnsiTheme="majorHAnsi" w:cs="Arial"/>
          <w:color w:val="222222"/>
          <w:sz w:val="18"/>
          <w:szCs w:val="18"/>
        </w:rPr>
        <w:t>del año siguiente</w:t>
      </w:r>
      <w:r w:rsidR="004F3DF0" w:rsidRPr="005C678D">
        <w:rPr>
          <w:rFonts w:asciiTheme="majorHAnsi" w:eastAsia="Times New Roman" w:hAnsiTheme="majorHAnsi" w:cs="Arial"/>
          <w:color w:val="222222"/>
          <w:sz w:val="18"/>
          <w:szCs w:val="18"/>
        </w:rPr>
        <w:t>.</w:t>
      </w:r>
    </w:p>
    <w:p w:rsidR="00873889" w:rsidRPr="005C678D" w:rsidRDefault="004F3DF0" w:rsidP="005C678D">
      <w:pPr>
        <w:numPr>
          <w:ilvl w:val="1"/>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El listado GRIS</w:t>
      </w:r>
      <w:r w:rsidR="00873889" w:rsidRPr="005C678D">
        <w:rPr>
          <w:rFonts w:asciiTheme="majorHAnsi" w:eastAsia="Times New Roman" w:hAnsiTheme="majorHAnsi" w:cs="Arial"/>
          <w:color w:val="222222"/>
          <w:sz w:val="18"/>
          <w:szCs w:val="18"/>
        </w:rPr>
        <w:t xml:space="preserve"> se enviará a cada OA </w:t>
      </w:r>
      <w:r w:rsidRPr="005C678D">
        <w:rPr>
          <w:rFonts w:asciiTheme="majorHAnsi" w:eastAsia="Times New Roman" w:hAnsiTheme="majorHAnsi" w:cs="Arial"/>
          <w:color w:val="222222"/>
          <w:sz w:val="18"/>
          <w:szCs w:val="18"/>
        </w:rPr>
        <w:t xml:space="preserve">en marzo de cada año, </w:t>
      </w:r>
      <w:r w:rsidR="00873889" w:rsidRPr="005C678D">
        <w:rPr>
          <w:rFonts w:asciiTheme="majorHAnsi" w:eastAsia="Times New Roman" w:hAnsiTheme="majorHAnsi" w:cs="Arial"/>
          <w:color w:val="222222"/>
          <w:sz w:val="18"/>
          <w:szCs w:val="18"/>
        </w:rPr>
        <w:t xml:space="preserve">para revisión </w:t>
      </w:r>
      <w:r w:rsidRPr="005C678D">
        <w:rPr>
          <w:rFonts w:asciiTheme="majorHAnsi" w:eastAsia="Times New Roman" w:hAnsiTheme="majorHAnsi" w:cs="Arial"/>
          <w:color w:val="222222"/>
          <w:sz w:val="18"/>
          <w:szCs w:val="18"/>
        </w:rPr>
        <w:t xml:space="preserve">del estado de adherencia o afiliación de las entidades empleadoras pertenecientes a los 56 rubros, y el OA  debe comparar ambos listados, el de marzo entregado por SUSESO y </w:t>
      </w:r>
      <w:r w:rsidR="00873889" w:rsidRPr="005C678D">
        <w:rPr>
          <w:rFonts w:asciiTheme="majorHAnsi" w:eastAsia="Times New Roman" w:hAnsiTheme="majorHAnsi" w:cs="Arial"/>
          <w:color w:val="222222"/>
          <w:sz w:val="18"/>
          <w:szCs w:val="18"/>
        </w:rPr>
        <w:t xml:space="preserve"> </w:t>
      </w:r>
      <w:r w:rsidRPr="005C678D">
        <w:rPr>
          <w:rFonts w:asciiTheme="majorHAnsi" w:eastAsia="Times New Roman" w:hAnsiTheme="majorHAnsi" w:cs="Arial"/>
          <w:color w:val="222222"/>
          <w:sz w:val="18"/>
          <w:szCs w:val="18"/>
        </w:rPr>
        <w:t xml:space="preserve">listado de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del año vencido</w:t>
      </w:r>
    </w:p>
    <w:p w:rsidR="00873889" w:rsidRPr="005C678D" w:rsidRDefault="00873889"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Este cuadro considera los 56 rubros silicogenos</w:t>
      </w:r>
    </w:p>
    <w:p w:rsidR="00873889" w:rsidRPr="005C678D" w:rsidRDefault="00873889" w:rsidP="005C678D">
      <w:pPr>
        <w:numPr>
          <w:ilvl w:val="1"/>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Se agrega una fila para todo este estadígrafo, denominado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No 56 Rubros". Esta fila considerará las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evaluadas por los </w:t>
      </w:r>
      <w:proofErr w:type="spellStart"/>
      <w:r w:rsidRPr="005C678D">
        <w:rPr>
          <w:rFonts w:asciiTheme="majorHAnsi" w:eastAsia="Times New Roman" w:hAnsiTheme="majorHAnsi" w:cs="Arial"/>
          <w:color w:val="222222"/>
          <w:sz w:val="18"/>
          <w:szCs w:val="18"/>
        </w:rPr>
        <w:t>OAs</w:t>
      </w:r>
      <w:proofErr w:type="spellEnd"/>
      <w:r w:rsidRPr="005C678D">
        <w:rPr>
          <w:rFonts w:asciiTheme="majorHAnsi" w:eastAsia="Times New Roman" w:hAnsiTheme="majorHAnsi" w:cs="Arial"/>
          <w:color w:val="222222"/>
          <w:sz w:val="18"/>
          <w:szCs w:val="18"/>
        </w:rPr>
        <w:t xml:space="preserve"> que no pertenecen a los 56 rubros establecidos,  sin embargo, han sido evaluadas por riesgo sílice por solicitud de SEREMI, DT o por denuncia de trabajadores o porque existe el agente en los procesos.</w:t>
      </w:r>
    </w:p>
    <w:p w:rsidR="00873889" w:rsidRPr="005C678D" w:rsidRDefault="00873889"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Se  modifica la fila "Comercio y otras". </w:t>
      </w:r>
    </w:p>
    <w:p w:rsidR="00873889" w:rsidRPr="005C678D" w:rsidRDefault="00873889" w:rsidP="005C678D">
      <w:pPr>
        <w:numPr>
          <w:ilvl w:val="1"/>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1° : se agrupa en una sola fila </w:t>
      </w:r>
    </w:p>
    <w:p w:rsidR="00873889" w:rsidRPr="005C678D" w:rsidRDefault="00873889" w:rsidP="005C678D">
      <w:pPr>
        <w:numPr>
          <w:ilvl w:val="1"/>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2°:  se cambia nombre a "comercio, servicios y otras"</w:t>
      </w:r>
    </w:p>
    <w:p w:rsidR="00873889" w:rsidRPr="005C678D" w:rsidRDefault="00873889"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adjunta listado de CIIU de los 56 rubros agrupados por actividad económica,  para evitar agrupar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en una actividad económica que no corresponde.</w:t>
      </w:r>
    </w:p>
    <w:p w:rsidR="00873889" w:rsidRPr="005C678D" w:rsidRDefault="00873889"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Se elimina el listado regional de empresas, solo se mantendrá el acumulado nacional de empresas. </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Cuadro N°2: </w:t>
      </w:r>
      <w:r w:rsidR="00B079B4" w:rsidRPr="005C678D">
        <w:rPr>
          <w:rFonts w:asciiTheme="majorHAnsi" w:eastAsia="Times New Roman" w:hAnsiTheme="majorHAnsi" w:cs="Arial"/>
          <w:color w:val="222222"/>
          <w:sz w:val="18"/>
          <w:szCs w:val="18"/>
        </w:rPr>
        <w:t>ENTIDADES EMPLEADORAS</w:t>
      </w:r>
      <w:r w:rsidRPr="005C678D">
        <w:rPr>
          <w:rFonts w:asciiTheme="majorHAnsi" w:eastAsia="Times New Roman" w:hAnsiTheme="majorHAnsi" w:cs="Arial"/>
          <w:color w:val="222222"/>
          <w:sz w:val="18"/>
          <w:szCs w:val="18"/>
        </w:rPr>
        <w:t xml:space="preserve"> EVALUADAS AC</w:t>
      </w:r>
      <w:r w:rsidR="00B079B4" w:rsidRPr="005C678D">
        <w:rPr>
          <w:rFonts w:asciiTheme="majorHAnsi" w:eastAsia="Times New Roman" w:hAnsiTheme="majorHAnsi" w:cs="Arial"/>
          <w:color w:val="222222"/>
          <w:sz w:val="18"/>
          <w:szCs w:val="18"/>
        </w:rPr>
        <w:t xml:space="preserve">UMULADAS </w:t>
      </w:r>
      <w:r w:rsidRPr="005C678D">
        <w:rPr>
          <w:rFonts w:asciiTheme="majorHAnsi" w:eastAsia="Times New Roman" w:hAnsiTheme="majorHAnsi" w:cs="Arial"/>
          <w:color w:val="222222"/>
          <w:sz w:val="18"/>
          <w:szCs w:val="18"/>
        </w:rPr>
        <w:t>2010- EN ADELANTE (COBERTURA)</w:t>
      </w:r>
    </w:p>
    <w:p w:rsidR="00873889" w:rsidRPr="005C678D" w:rsidRDefault="00873889" w:rsidP="005C678D">
      <w:pPr>
        <w:numPr>
          <w:ilvl w:val="0"/>
          <w:numId w:val="23"/>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considerará el total de las </w:t>
      </w:r>
      <w:r w:rsidR="00836301"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evaluadas </w:t>
      </w:r>
      <w:r w:rsidR="00836301" w:rsidRPr="005C678D">
        <w:rPr>
          <w:rFonts w:asciiTheme="majorHAnsi" w:eastAsia="Times New Roman" w:hAnsiTheme="majorHAnsi" w:cs="Arial"/>
          <w:color w:val="222222"/>
          <w:sz w:val="18"/>
          <w:szCs w:val="18"/>
        </w:rPr>
        <w:t>y acumuladas 2010-2017,</w:t>
      </w:r>
      <w:r w:rsidRPr="005C678D">
        <w:rPr>
          <w:rFonts w:asciiTheme="majorHAnsi" w:eastAsia="Times New Roman" w:hAnsiTheme="majorHAnsi" w:cs="Arial"/>
          <w:color w:val="222222"/>
          <w:sz w:val="18"/>
          <w:szCs w:val="18"/>
        </w:rPr>
        <w:t xml:space="preserve"> como base y se sumaran los años venideros. </w:t>
      </w:r>
    </w:p>
    <w:p w:rsidR="00873889" w:rsidRPr="005C678D" w:rsidRDefault="00873889" w:rsidP="005C678D">
      <w:pPr>
        <w:numPr>
          <w:ilvl w:val="0"/>
          <w:numId w:val="23"/>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considerarán </w:t>
      </w:r>
      <w:r w:rsidR="00836301"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evaluadas acumuladas,  las activas </w:t>
      </w:r>
      <w:r w:rsidR="00836301" w:rsidRPr="005C678D">
        <w:rPr>
          <w:rFonts w:asciiTheme="majorHAnsi" w:eastAsia="Times New Roman" w:hAnsiTheme="majorHAnsi" w:cs="Arial"/>
          <w:color w:val="222222"/>
          <w:sz w:val="18"/>
          <w:szCs w:val="18"/>
        </w:rPr>
        <w:t xml:space="preserve">adheridas </w:t>
      </w:r>
      <w:r w:rsidRPr="005C678D">
        <w:rPr>
          <w:rFonts w:asciiTheme="majorHAnsi" w:eastAsia="Times New Roman" w:hAnsiTheme="majorHAnsi" w:cs="Arial"/>
          <w:color w:val="222222"/>
          <w:sz w:val="18"/>
          <w:szCs w:val="18"/>
        </w:rPr>
        <w:t xml:space="preserve">y las que ya no estén adheridas al  OA al año vencido,  con el objetivo de mantener la producción </w:t>
      </w:r>
      <w:r w:rsidR="00836301" w:rsidRPr="005C678D">
        <w:rPr>
          <w:rFonts w:asciiTheme="majorHAnsi" w:eastAsia="Times New Roman" w:hAnsiTheme="majorHAnsi" w:cs="Arial"/>
          <w:color w:val="222222"/>
          <w:sz w:val="18"/>
          <w:szCs w:val="18"/>
        </w:rPr>
        <w:t xml:space="preserve">anual </w:t>
      </w:r>
      <w:r w:rsidRPr="005C678D">
        <w:rPr>
          <w:rFonts w:asciiTheme="majorHAnsi" w:eastAsia="Times New Roman" w:hAnsiTheme="majorHAnsi" w:cs="Arial"/>
          <w:color w:val="222222"/>
          <w:sz w:val="18"/>
          <w:szCs w:val="18"/>
        </w:rPr>
        <w:t xml:space="preserve">por cada OA. Se considerará a esto un valor bruto de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evaluadas. </w:t>
      </w:r>
    </w:p>
    <w:p w:rsidR="00873889" w:rsidRPr="005C678D" w:rsidRDefault="00873889" w:rsidP="005C678D">
      <w:pPr>
        <w:numPr>
          <w:ilvl w:val="0"/>
          <w:numId w:val="23"/>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Como empresa evaluada se debe contar  una vez dicha entidad empleadora,  aunque hubiere realizado evaluación a más de un centro de trabajo en el mismo año.</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N°3:</w:t>
      </w:r>
      <w:r w:rsidRPr="005C678D">
        <w:rPr>
          <w:rFonts w:asciiTheme="majorHAnsi" w:eastAsia="Times New Roman" w:hAnsiTheme="majorHAnsi" w:cs="Arial"/>
          <w:color w:val="222222"/>
          <w:sz w:val="18"/>
          <w:szCs w:val="18"/>
        </w:rPr>
        <w:t> E</w:t>
      </w:r>
      <w:r w:rsidR="008D3302" w:rsidRPr="005C678D">
        <w:rPr>
          <w:rFonts w:asciiTheme="majorHAnsi" w:eastAsia="Times New Roman" w:hAnsiTheme="majorHAnsi" w:cs="Arial"/>
          <w:color w:val="222222"/>
          <w:sz w:val="18"/>
          <w:szCs w:val="18"/>
        </w:rPr>
        <w:t>NTIDADES EMPLEADORAS</w:t>
      </w:r>
      <w:r w:rsidR="00836301" w:rsidRPr="005C678D">
        <w:rPr>
          <w:rFonts w:asciiTheme="majorHAnsi" w:eastAsia="Times New Roman" w:hAnsiTheme="majorHAnsi" w:cs="Arial"/>
          <w:color w:val="222222"/>
          <w:sz w:val="18"/>
          <w:szCs w:val="18"/>
        </w:rPr>
        <w:t xml:space="preserve"> NUEVAS EVALUADAS </w:t>
      </w:r>
      <w:r w:rsidR="00B079B4" w:rsidRPr="005C678D">
        <w:rPr>
          <w:rFonts w:asciiTheme="majorHAnsi" w:eastAsia="Times New Roman" w:hAnsiTheme="majorHAnsi" w:cs="Arial"/>
          <w:color w:val="222222"/>
          <w:sz w:val="18"/>
          <w:szCs w:val="18"/>
        </w:rPr>
        <w:t xml:space="preserve">EN EL AÑO EN CURSO (META </w:t>
      </w:r>
      <w:r w:rsidRPr="005C678D">
        <w:rPr>
          <w:rFonts w:asciiTheme="majorHAnsi" w:eastAsia="Times New Roman" w:hAnsiTheme="majorHAnsi" w:cs="Arial"/>
          <w:color w:val="222222"/>
          <w:sz w:val="18"/>
          <w:szCs w:val="18"/>
        </w:rPr>
        <w:t>SUSESO) </w:t>
      </w:r>
      <w:r w:rsidRPr="005C678D">
        <w:rPr>
          <w:rFonts w:asciiTheme="majorHAnsi" w:eastAsia="Times New Roman" w:hAnsiTheme="majorHAnsi" w:cs="Arial"/>
          <w:color w:val="222222"/>
          <w:sz w:val="18"/>
          <w:szCs w:val="18"/>
          <w:shd w:val="clear" w:color="auto" w:fill="FFFFFF"/>
        </w:rPr>
        <w:t>En rigor a 31 de dic del año que se evalúa.</w:t>
      </w:r>
    </w:p>
    <w:p w:rsidR="00873889" w:rsidRPr="005C678D" w:rsidRDefault="00836301" w:rsidP="00836301">
      <w:pPr>
        <w:pStyle w:val="Prrafodelista"/>
        <w:numPr>
          <w:ilvl w:val="0"/>
          <w:numId w:val="14"/>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C</w:t>
      </w:r>
      <w:r w:rsidR="00873889" w:rsidRPr="005C678D">
        <w:rPr>
          <w:rFonts w:asciiTheme="majorHAnsi" w:eastAsia="Times New Roman" w:hAnsiTheme="majorHAnsi" w:cs="Arial"/>
          <w:color w:val="222222"/>
          <w:sz w:val="18"/>
          <w:szCs w:val="18"/>
        </w:rPr>
        <w:t>orresponde</w:t>
      </w:r>
      <w:r w:rsidRPr="005C678D">
        <w:rPr>
          <w:rFonts w:asciiTheme="majorHAnsi" w:eastAsia="Times New Roman" w:hAnsiTheme="majorHAnsi" w:cs="Arial"/>
          <w:color w:val="222222"/>
          <w:sz w:val="18"/>
          <w:szCs w:val="18"/>
        </w:rPr>
        <w:t xml:space="preserve"> a la meta SUSESO de entidades empleadoras que deben ser evaluadas por primera vez, por el organismo administrador</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N°4:</w:t>
      </w:r>
      <w:r w:rsidRPr="005C678D">
        <w:rPr>
          <w:rFonts w:asciiTheme="majorHAnsi" w:eastAsia="Times New Roman" w:hAnsiTheme="majorHAnsi" w:cs="Arial"/>
          <w:color w:val="0168B3"/>
          <w:sz w:val="18"/>
          <w:szCs w:val="18"/>
        </w:rPr>
        <w:t> </w:t>
      </w:r>
      <w:r w:rsidR="008D3302" w:rsidRPr="005C678D">
        <w:rPr>
          <w:rFonts w:asciiTheme="majorHAnsi" w:eastAsia="Times New Roman" w:hAnsiTheme="majorHAnsi" w:cs="Arial"/>
          <w:color w:val="222222"/>
          <w:sz w:val="18"/>
          <w:szCs w:val="18"/>
        </w:rPr>
        <w:t xml:space="preserve">ENTIDADES EMPLEADORAS </w:t>
      </w:r>
      <w:r w:rsidR="00836301" w:rsidRPr="005C678D">
        <w:rPr>
          <w:rFonts w:asciiTheme="majorHAnsi" w:eastAsia="Times New Roman" w:hAnsiTheme="majorHAnsi" w:cs="Arial"/>
          <w:color w:val="222222"/>
          <w:sz w:val="18"/>
          <w:szCs w:val="18"/>
        </w:rPr>
        <w:t>REEVALUADAS</w:t>
      </w:r>
      <w:r w:rsidR="00B079B4" w:rsidRPr="005C678D">
        <w:rPr>
          <w:rFonts w:asciiTheme="majorHAnsi" w:eastAsia="Times New Roman" w:hAnsiTheme="majorHAnsi" w:cs="Arial"/>
          <w:color w:val="222222"/>
          <w:sz w:val="18"/>
          <w:szCs w:val="18"/>
        </w:rPr>
        <w:t xml:space="preserve"> EN EL AÑO EN CURSO</w:t>
      </w:r>
      <w:r w:rsidRPr="005C678D">
        <w:rPr>
          <w:rFonts w:asciiTheme="majorHAnsi" w:eastAsia="Times New Roman" w:hAnsiTheme="majorHAnsi" w:cs="Arial"/>
          <w:color w:val="222222"/>
          <w:sz w:val="18"/>
          <w:szCs w:val="18"/>
        </w:rPr>
        <w:t>. En rigor se registra al 31 de dic del año que se evalúa.</w:t>
      </w:r>
    </w:p>
    <w:p w:rsidR="00836301" w:rsidRPr="005C678D" w:rsidRDefault="00836301" w:rsidP="005C678D">
      <w:pPr>
        <w:numPr>
          <w:ilvl w:val="0"/>
          <w:numId w:val="16"/>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El número de entidades empleadoras que les corresponde re-evaluación ambiental durante el año en curso. Estas entidades presentan evaluaciones previas y se cuentan por una vez, aunque hubiere realizado evaluación a más de un centro de trabajo en el mismo año.</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Cuadro N°5:</w:t>
      </w:r>
      <w:r w:rsidRPr="005C678D">
        <w:rPr>
          <w:rFonts w:asciiTheme="majorHAnsi" w:eastAsia="Times New Roman" w:hAnsiTheme="majorHAnsi" w:cs="Arial"/>
          <w:color w:val="0168B3"/>
          <w:sz w:val="18"/>
          <w:szCs w:val="18"/>
        </w:rPr>
        <w:t> </w:t>
      </w:r>
      <w:r w:rsidRPr="005C678D">
        <w:rPr>
          <w:rFonts w:asciiTheme="majorHAnsi" w:eastAsia="Times New Roman" w:hAnsiTheme="majorHAnsi" w:cs="Arial"/>
          <w:color w:val="222222"/>
          <w:sz w:val="18"/>
          <w:szCs w:val="18"/>
        </w:rPr>
        <w:t>E</w:t>
      </w:r>
      <w:r w:rsidR="00B079B4" w:rsidRPr="005C678D">
        <w:rPr>
          <w:rFonts w:asciiTheme="majorHAnsi" w:eastAsia="Times New Roman" w:hAnsiTheme="majorHAnsi" w:cs="Arial"/>
          <w:color w:val="222222"/>
          <w:sz w:val="18"/>
          <w:szCs w:val="18"/>
        </w:rPr>
        <w:t>NTIDADES EMPLEADORAS</w:t>
      </w:r>
      <w:r w:rsidRPr="005C678D">
        <w:rPr>
          <w:rFonts w:asciiTheme="majorHAnsi" w:eastAsia="Times New Roman" w:hAnsiTheme="majorHAnsi" w:cs="Arial"/>
          <w:color w:val="222222"/>
          <w:sz w:val="18"/>
          <w:szCs w:val="18"/>
        </w:rPr>
        <w:t xml:space="preserve"> SIN PRESENCIA DE SÍLICE </w:t>
      </w:r>
      <w:r w:rsidR="00B079B4" w:rsidRPr="005C678D">
        <w:rPr>
          <w:rFonts w:asciiTheme="majorHAnsi" w:eastAsia="Times New Roman" w:hAnsiTheme="majorHAnsi" w:cs="Arial"/>
          <w:color w:val="222222"/>
          <w:sz w:val="18"/>
          <w:szCs w:val="18"/>
        </w:rPr>
        <w:t>DURANTE EL AÑO EN CURSO</w:t>
      </w:r>
    </w:p>
    <w:p w:rsidR="00873889" w:rsidRDefault="00873889" w:rsidP="008D3302">
      <w:pPr>
        <w:pStyle w:val="Prrafodelista"/>
        <w:numPr>
          <w:ilvl w:val="0"/>
          <w:numId w:val="17"/>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consideran para este cuadro </w:t>
      </w:r>
      <w:r w:rsidR="008D3302" w:rsidRPr="005C678D">
        <w:rPr>
          <w:rFonts w:asciiTheme="majorHAnsi" w:eastAsia="Times New Roman" w:hAnsiTheme="majorHAnsi" w:cs="Arial"/>
          <w:color w:val="222222"/>
          <w:sz w:val="18"/>
          <w:szCs w:val="18"/>
        </w:rPr>
        <w:t xml:space="preserve">el registro de </w:t>
      </w:r>
      <w:r w:rsidRPr="005C678D">
        <w:rPr>
          <w:rFonts w:asciiTheme="majorHAnsi" w:eastAsia="Times New Roman" w:hAnsiTheme="majorHAnsi" w:cs="Arial"/>
          <w:color w:val="222222"/>
          <w:sz w:val="18"/>
          <w:szCs w:val="18"/>
        </w:rPr>
        <w:t>las e</w:t>
      </w:r>
      <w:r w:rsidR="008D3302" w:rsidRPr="005C678D">
        <w:rPr>
          <w:rFonts w:asciiTheme="majorHAnsi" w:eastAsia="Times New Roman" w:hAnsiTheme="majorHAnsi" w:cs="Arial"/>
          <w:color w:val="222222"/>
          <w:sz w:val="18"/>
          <w:szCs w:val="18"/>
        </w:rPr>
        <w:t>ntidades empleadoras</w:t>
      </w:r>
      <w:r w:rsidRPr="005C678D">
        <w:rPr>
          <w:rFonts w:asciiTheme="majorHAnsi" w:eastAsia="Times New Roman" w:hAnsiTheme="majorHAnsi" w:cs="Arial"/>
          <w:color w:val="222222"/>
          <w:sz w:val="18"/>
          <w:szCs w:val="18"/>
        </w:rPr>
        <w:t xml:space="preserve"> que no hubieren presentado presencia del agente en los procesos de la empresa evaluada</w:t>
      </w:r>
      <w:r w:rsidR="008D3302" w:rsidRPr="005C678D">
        <w:rPr>
          <w:rFonts w:asciiTheme="majorHAnsi" w:eastAsia="Times New Roman" w:hAnsiTheme="majorHAnsi" w:cs="Arial"/>
          <w:color w:val="222222"/>
          <w:sz w:val="18"/>
          <w:szCs w:val="18"/>
        </w:rPr>
        <w:t xml:space="preserve"> en año en curso</w:t>
      </w:r>
      <w:r w:rsidRPr="005C678D">
        <w:rPr>
          <w:rFonts w:asciiTheme="majorHAnsi" w:eastAsia="Times New Roman" w:hAnsiTheme="majorHAnsi" w:cs="Arial"/>
          <w:color w:val="222222"/>
          <w:sz w:val="18"/>
          <w:szCs w:val="18"/>
        </w:rPr>
        <w:t>.</w:t>
      </w:r>
      <w:r w:rsidR="008D3302" w:rsidRPr="005C678D">
        <w:rPr>
          <w:rFonts w:asciiTheme="majorHAnsi" w:eastAsia="Times New Roman" w:hAnsiTheme="majorHAnsi" w:cs="Arial"/>
          <w:color w:val="222222"/>
          <w:sz w:val="18"/>
          <w:szCs w:val="18"/>
        </w:rPr>
        <w:t xml:space="preserve"> Y corresponden a las entidades empleadoras del cuadro 3 y 4 de la presente tabla de estadígrafos.</w:t>
      </w:r>
    </w:p>
    <w:p w:rsidR="004F1F4B" w:rsidRPr="005C678D" w:rsidRDefault="004F1F4B" w:rsidP="004F1F4B">
      <w:pPr>
        <w:pStyle w:val="Prrafodelista"/>
        <w:shd w:val="clear" w:color="auto" w:fill="FFFFFF"/>
        <w:spacing w:before="100" w:beforeAutospacing="1" w:after="100" w:afterAutospacing="1" w:line="240" w:lineRule="auto"/>
        <w:ind w:left="360"/>
        <w:rPr>
          <w:rFonts w:asciiTheme="majorHAnsi" w:eastAsia="Times New Roman" w:hAnsiTheme="majorHAnsi" w:cs="Arial"/>
          <w:color w:val="222222"/>
          <w:sz w:val="18"/>
          <w:szCs w:val="18"/>
        </w:rPr>
      </w:pPr>
    </w:p>
    <w:p w:rsidR="00656E98" w:rsidRPr="00656E98" w:rsidRDefault="00656E98" w:rsidP="00656E98">
      <w:pPr>
        <w:shd w:val="clear" w:color="auto" w:fill="FFFFFF"/>
        <w:spacing w:after="0" w:line="240" w:lineRule="auto"/>
        <w:jc w:val="center"/>
        <w:rPr>
          <w:rFonts w:asciiTheme="majorHAnsi" w:eastAsia="Times New Roman" w:hAnsiTheme="majorHAnsi" w:cs="Arial"/>
          <w:b/>
          <w:color w:val="222222"/>
          <w:szCs w:val="18"/>
          <w:shd w:val="clear" w:color="auto" w:fill="FFFFFF"/>
        </w:rPr>
      </w:pPr>
      <w:r w:rsidRPr="00656E98">
        <w:rPr>
          <w:rFonts w:asciiTheme="majorHAnsi" w:eastAsia="Times New Roman" w:hAnsiTheme="majorHAnsi" w:cs="Arial"/>
          <w:b/>
          <w:color w:val="222222"/>
          <w:szCs w:val="18"/>
          <w:shd w:val="clear" w:color="auto" w:fill="FFFFFF"/>
        </w:rPr>
        <w:lastRenderedPageBreak/>
        <w:t>(Pág. 2/4)</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N°6:</w:t>
      </w:r>
      <w:r w:rsidR="00836301" w:rsidRPr="005C678D">
        <w:rPr>
          <w:rFonts w:asciiTheme="majorHAnsi" w:eastAsia="Times New Roman" w:hAnsiTheme="majorHAnsi" w:cs="Arial"/>
          <w:color w:val="0168B3"/>
          <w:sz w:val="18"/>
          <w:szCs w:val="18"/>
          <w:shd w:val="clear" w:color="auto" w:fill="FFFFFF"/>
        </w:rPr>
        <w:t> </w:t>
      </w:r>
      <w:r w:rsidR="00B079B4" w:rsidRPr="005C678D">
        <w:rPr>
          <w:rFonts w:asciiTheme="majorHAnsi" w:eastAsia="Times New Roman" w:hAnsiTheme="majorHAnsi" w:cs="Arial"/>
          <w:color w:val="222222"/>
          <w:sz w:val="18"/>
          <w:szCs w:val="18"/>
          <w:shd w:val="clear" w:color="auto" w:fill="FFFFFF"/>
        </w:rPr>
        <w:t xml:space="preserve">ENTIDADES EMPELADORAS </w:t>
      </w:r>
      <w:r w:rsidRPr="005C678D">
        <w:rPr>
          <w:rFonts w:asciiTheme="majorHAnsi" w:eastAsia="Times New Roman" w:hAnsiTheme="majorHAnsi" w:cs="Arial"/>
          <w:color w:val="222222"/>
          <w:sz w:val="18"/>
          <w:szCs w:val="18"/>
          <w:shd w:val="clear" w:color="auto" w:fill="FFFFFF"/>
        </w:rPr>
        <w:t xml:space="preserve">CON PRESENCIA DE SÍLICE </w:t>
      </w:r>
      <w:r w:rsidR="00B079B4" w:rsidRPr="005C678D">
        <w:rPr>
          <w:rFonts w:asciiTheme="majorHAnsi" w:eastAsia="Times New Roman" w:hAnsiTheme="majorHAnsi" w:cs="Arial"/>
          <w:color w:val="222222"/>
          <w:sz w:val="18"/>
          <w:szCs w:val="18"/>
          <w:shd w:val="clear" w:color="auto" w:fill="FFFFFF"/>
        </w:rPr>
        <w:t>DURANTE EL AÑO EN CURSO</w:t>
      </w:r>
      <w:r w:rsidRPr="005C678D">
        <w:rPr>
          <w:rFonts w:asciiTheme="majorHAnsi" w:eastAsia="Times New Roman" w:hAnsiTheme="majorHAnsi" w:cs="Arial"/>
          <w:color w:val="222222"/>
          <w:sz w:val="18"/>
          <w:szCs w:val="18"/>
          <w:shd w:val="clear" w:color="auto" w:fill="FFFFFF"/>
        </w:rPr>
        <w:t> </w:t>
      </w:r>
      <w:r w:rsidRPr="005C678D">
        <w:rPr>
          <w:rFonts w:asciiTheme="majorHAnsi" w:eastAsia="Times New Roman" w:hAnsiTheme="majorHAnsi" w:cs="Arial"/>
          <w:color w:val="222222"/>
          <w:sz w:val="18"/>
          <w:szCs w:val="18"/>
        </w:rPr>
        <w:t> </w:t>
      </w:r>
    </w:p>
    <w:p w:rsidR="00873889" w:rsidRPr="005C678D" w:rsidRDefault="00873889" w:rsidP="009570C4">
      <w:pPr>
        <w:numPr>
          <w:ilvl w:val="0"/>
          <w:numId w:val="18"/>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consideran para este cuadro las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que hubieren presentado presencia del agente en los procesos de la empresa evaluada. </w:t>
      </w:r>
      <w:r w:rsidR="009570C4" w:rsidRPr="005C678D">
        <w:rPr>
          <w:rFonts w:asciiTheme="majorHAnsi" w:eastAsia="Times New Roman" w:hAnsiTheme="majorHAnsi" w:cs="Arial"/>
          <w:color w:val="222222"/>
          <w:sz w:val="18"/>
          <w:szCs w:val="18"/>
        </w:rPr>
        <w:t>Considerando solo las entidades empleadoras evaluadas en el año en curso.</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N°7:</w:t>
      </w:r>
      <w:r w:rsidRPr="005C678D">
        <w:rPr>
          <w:rFonts w:asciiTheme="majorHAnsi" w:eastAsia="Times New Roman" w:hAnsiTheme="majorHAnsi" w:cs="Arial"/>
          <w:color w:val="222222"/>
          <w:sz w:val="18"/>
          <w:szCs w:val="18"/>
        </w:rPr>
        <w:t> </w:t>
      </w:r>
      <w:r w:rsidR="009570C4" w:rsidRPr="005C678D">
        <w:rPr>
          <w:rFonts w:asciiTheme="majorHAnsi" w:eastAsia="Times New Roman" w:hAnsiTheme="majorHAnsi" w:cs="Arial"/>
          <w:color w:val="222222"/>
          <w:sz w:val="18"/>
          <w:szCs w:val="18"/>
        </w:rPr>
        <w:t>ENTIDADES EMPLEADORAS EVALUADAS,  AÑO EN CURSO,</w:t>
      </w:r>
      <w:r w:rsidRPr="005C678D">
        <w:rPr>
          <w:rFonts w:asciiTheme="majorHAnsi" w:eastAsia="Times New Roman" w:hAnsiTheme="majorHAnsi" w:cs="Arial"/>
          <w:color w:val="222222"/>
          <w:sz w:val="18"/>
          <w:szCs w:val="18"/>
        </w:rPr>
        <w:t xml:space="preserve"> CON TRABAJADORES EXPUESTOS A SÍLICE, SUJETOS A VIGILANCIA DE SALUD </w:t>
      </w:r>
    </w:p>
    <w:p w:rsidR="009570C4" w:rsidRPr="005C678D" w:rsidRDefault="00873889" w:rsidP="009570C4">
      <w:pPr>
        <w:numPr>
          <w:ilvl w:val="0"/>
          <w:numId w:val="20"/>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 xml:space="preserve">Se considera el número de </w:t>
      </w:r>
      <w:r w:rsidR="009570C4" w:rsidRPr="005C678D">
        <w:rPr>
          <w:rFonts w:asciiTheme="majorHAnsi" w:eastAsia="Times New Roman" w:hAnsiTheme="majorHAnsi" w:cs="Arial"/>
          <w:color w:val="222222"/>
          <w:sz w:val="18"/>
          <w:szCs w:val="18"/>
          <w:shd w:val="clear" w:color="auto" w:fill="FFFFFF"/>
        </w:rPr>
        <w:t>entidades empleadoras</w:t>
      </w:r>
      <w:r w:rsidRPr="005C678D">
        <w:rPr>
          <w:rFonts w:asciiTheme="majorHAnsi" w:eastAsia="Times New Roman" w:hAnsiTheme="majorHAnsi" w:cs="Arial"/>
          <w:color w:val="222222"/>
          <w:sz w:val="18"/>
          <w:szCs w:val="18"/>
          <w:shd w:val="clear" w:color="auto" w:fill="FFFFFF"/>
        </w:rPr>
        <w:t xml:space="preserve"> con presencia de sílice y que según criterio cualitativo o cuantitativo debe ingresar vigilancia de salud a los trabajadores expuestos.</w:t>
      </w:r>
      <w:r w:rsidR="009570C4" w:rsidRPr="005C678D">
        <w:rPr>
          <w:rFonts w:asciiTheme="majorHAnsi" w:eastAsia="Times New Roman" w:hAnsiTheme="majorHAnsi" w:cs="Arial"/>
          <w:color w:val="222222"/>
          <w:sz w:val="18"/>
          <w:szCs w:val="18"/>
          <w:shd w:val="clear" w:color="auto" w:fill="FFFFFF"/>
        </w:rPr>
        <w:t xml:space="preserve"> </w:t>
      </w:r>
      <w:r w:rsidR="009570C4" w:rsidRPr="005C678D">
        <w:rPr>
          <w:rFonts w:asciiTheme="majorHAnsi" w:eastAsia="Times New Roman" w:hAnsiTheme="majorHAnsi" w:cs="Arial"/>
          <w:color w:val="222222"/>
          <w:sz w:val="18"/>
          <w:szCs w:val="18"/>
        </w:rPr>
        <w:t>Considerando solo las entidades empleadoras evaluadas en el año en curso.</w:t>
      </w:r>
    </w:p>
    <w:p w:rsidR="00873889" w:rsidRPr="005C678D" w:rsidRDefault="00873889" w:rsidP="009570C4">
      <w:pPr>
        <w:shd w:val="clear" w:color="auto" w:fill="FFFFFF"/>
        <w:spacing w:before="100" w:beforeAutospacing="1" w:after="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N°8:</w:t>
      </w:r>
      <w:r w:rsidR="009570C4" w:rsidRPr="005C678D">
        <w:rPr>
          <w:rFonts w:asciiTheme="majorHAnsi" w:eastAsia="Times New Roman" w:hAnsiTheme="majorHAnsi" w:cs="Arial"/>
          <w:color w:val="222222"/>
          <w:sz w:val="18"/>
          <w:szCs w:val="18"/>
          <w:shd w:val="clear" w:color="auto" w:fill="FFFFFF"/>
        </w:rPr>
        <w:t> </w:t>
      </w:r>
      <w:r w:rsidR="005C678D" w:rsidRPr="005C678D">
        <w:rPr>
          <w:rFonts w:asciiTheme="majorHAnsi" w:eastAsia="Times New Roman" w:hAnsiTheme="majorHAnsi" w:cs="Arial"/>
          <w:color w:val="222222"/>
          <w:sz w:val="18"/>
          <w:szCs w:val="18"/>
        </w:rPr>
        <w:t>ENTIDADES EMPLEADORAS EVALUADAS AÑO EN CURSO</w:t>
      </w:r>
      <w:r w:rsidR="005C678D">
        <w:rPr>
          <w:rFonts w:asciiTheme="majorHAnsi" w:eastAsia="Times New Roman" w:hAnsiTheme="majorHAnsi" w:cs="Arial"/>
          <w:color w:val="222222"/>
          <w:sz w:val="18"/>
          <w:szCs w:val="18"/>
        </w:rPr>
        <w:t>,</w:t>
      </w:r>
      <w:r w:rsidR="005C678D" w:rsidRPr="005C678D">
        <w:rPr>
          <w:rFonts w:asciiTheme="majorHAnsi" w:eastAsia="Times New Roman" w:hAnsiTheme="majorHAnsi" w:cs="Arial"/>
          <w:color w:val="222222"/>
          <w:sz w:val="18"/>
          <w:szCs w:val="18"/>
        </w:rPr>
        <w:t xml:space="preserve"> INGRESADOS A</w:t>
      </w:r>
      <w:r w:rsidRPr="005C678D">
        <w:rPr>
          <w:rFonts w:asciiTheme="majorHAnsi" w:eastAsia="Times New Roman" w:hAnsiTheme="majorHAnsi" w:cs="Arial"/>
          <w:color w:val="222222"/>
          <w:sz w:val="18"/>
          <w:szCs w:val="18"/>
        </w:rPr>
        <w:t xml:space="preserve"> PROGRAMAS VIGILANCIA SALUD  </w:t>
      </w:r>
    </w:p>
    <w:p w:rsidR="00873889" w:rsidRPr="005C678D" w:rsidRDefault="00873889" w:rsidP="005C678D">
      <w:pPr>
        <w:numPr>
          <w:ilvl w:val="0"/>
          <w:numId w:val="11"/>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co</w:t>
      </w:r>
      <w:r w:rsidR="005C678D" w:rsidRPr="005C678D">
        <w:rPr>
          <w:rFonts w:asciiTheme="majorHAnsi" w:eastAsia="Times New Roman" w:hAnsiTheme="majorHAnsi" w:cs="Arial"/>
          <w:color w:val="222222"/>
          <w:sz w:val="18"/>
          <w:szCs w:val="18"/>
        </w:rPr>
        <w:t>n vigilancia de salud ejecutada cuando se ha</w:t>
      </w:r>
      <w:r w:rsidRPr="005C678D">
        <w:rPr>
          <w:rFonts w:asciiTheme="majorHAnsi" w:eastAsia="Times New Roman" w:hAnsiTheme="majorHAnsi" w:cs="Arial"/>
          <w:color w:val="222222"/>
          <w:sz w:val="18"/>
          <w:szCs w:val="18"/>
        </w:rPr>
        <w:t xml:space="preserve"> evaluado al menos 1 trabajador. Y que </w:t>
      </w:r>
      <w:r w:rsidR="005C678D" w:rsidRPr="005C678D">
        <w:rPr>
          <w:rFonts w:asciiTheme="majorHAnsi" w:eastAsia="Times New Roman" w:hAnsiTheme="majorHAnsi" w:cs="Arial"/>
          <w:color w:val="222222"/>
          <w:sz w:val="18"/>
          <w:szCs w:val="18"/>
        </w:rPr>
        <w:t>estén</w:t>
      </w:r>
      <w:r w:rsidRPr="005C678D">
        <w:rPr>
          <w:rFonts w:asciiTheme="majorHAnsi" w:eastAsia="Times New Roman" w:hAnsiTheme="majorHAnsi" w:cs="Arial"/>
          <w:color w:val="222222"/>
          <w:sz w:val="18"/>
          <w:szCs w:val="18"/>
        </w:rPr>
        <w:t xml:space="preserve"> adheridas a ese organismo administrador</w:t>
      </w:r>
      <w:r w:rsidR="005C678D" w:rsidRPr="005C678D">
        <w:rPr>
          <w:rFonts w:asciiTheme="majorHAnsi" w:eastAsia="Times New Roman" w:hAnsiTheme="majorHAnsi" w:cs="Arial"/>
          <w:color w:val="222222"/>
          <w:sz w:val="18"/>
          <w:szCs w:val="18"/>
        </w:rPr>
        <w:t xml:space="preserve"> en el año en curso.</w:t>
      </w:r>
    </w:p>
    <w:p w:rsidR="00873889" w:rsidRPr="005C678D" w:rsidRDefault="00873889" w:rsidP="005C678D">
      <w:pPr>
        <w:numPr>
          <w:ilvl w:val="0"/>
          <w:numId w:val="11"/>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Las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que mantengan programa de vigilancia de salud, que ya no estén adheridas al organismo administrador porque la empresa no existe, pero que sin embargo presente trabajadores con vigilancia postocupacional, no se considerará para este registro. </w:t>
      </w:r>
    </w:p>
    <w:p w:rsidR="00873889" w:rsidRPr="005C678D" w:rsidRDefault="00873889" w:rsidP="005C678D">
      <w:pPr>
        <w:numPr>
          <w:ilvl w:val="1"/>
          <w:numId w:val="11"/>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La información de las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con vigilancia postocupacional </w:t>
      </w:r>
      <w:r w:rsidR="005C678D" w:rsidRPr="005C678D">
        <w:rPr>
          <w:rFonts w:asciiTheme="majorHAnsi" w:eastAsia="Times New Roman" w:hAnsiTheme="majorHAnsi" w:cs="Arial"/>
          <w:color w:val="222222"/>
          <w:sz w:val="18"/>
          <w:szCs w:val="18"/>
        </w:rPr>
        <w:t>será</w:t>
      </w:r>
      <w:r w:rsidRPr="005C678D">
        <w:rPr>
          <w:rFonts w:asciiTheme="majorHAnsi" w:eastAsia="Times New Roman" w:hAnsiTheme="majorHAnsi" w:cs="Arial"/>
          <w:color w:val="222222"/>
          <w:sz w:val="18"/>
          <w:szCs w:val="18"/>
        </w:rPr>
        <w:t xml:space="preserve"> remitida de manera externa al presente cuadro. Se enviará correo a </w:t>
      </w:r>
      <w:hyperlink r:id="rId5" w:tgtFrame="_blank" w:history="1">
        <w:r w:rsidRPr="005C678D">
          <w:rPr>
            <w:rFonts w:asciiTheme="majorHAnsi" w:eastAsia="Times New Roman" w:hAnsiTheme="majorHAnsi" w:cs="Arial"/>
            <w:color w:val="1155CC"/>
            <w:sz w:val="18"/>
            <w:szCs w:val="18"/>
            <w:u w:val="single"/>
          </w:rPr>
          <w:t>ccaceres@suseso.cl</w:t>
        </w:r>
      </w:hyperlink>
      <w:r w:rsidR="005C678D" w:rsidRPr="005C678D">
        <w:rPr>
          <w:rFonts w:asciiTheme="majorHAnsi" w:eastAsia="Times New Roman" w:hAnsiTheme="majorHAnsi" w:cs="Arial"/>
          <w:color w:val="222222"/>
          <w:sz w:val="18"/>
          <w:szCs w:val="18"/>
        </w:rPr>
        <w:t xml:space="preserve"> </w:t>
      </w:r>
      <w:r w:rsidRPr="005C678D">
        <w:rPr>
          <w:rFonts w:asciiTheme="majorHAnsi" w:eastAsia="Times New Roman" w:hAnsiTheme="majorHAnsi" w:cs="Arial"/>
          <w:color w:val="222222"/>
          <w:sz w:val="18"/>
          <w:szCs w:val="18"/>
        </w:rPr>
        <w:t>para consolidar los datos.</w:t>
      </w:r>
    </w:p>
    <w:p w:rsidR="00873889" w:rsidRPr="005C678D" w:rsidRDefault="00873889" w:rsidP="005C678D">
      <w:pPr>
        <w:numPr>
          <w:ilvl w:val="1"/>
          <w:numId w:val="11"/>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Si la empresa presenta trabajadores en vigilancia activa y </w:t>
      </w:r>
      <w:proofErr w:type="spellStart"/>
      <w:r w:rsidRPr="005C678D">
        <w:rPr>
          <w:rFonts w:asciiTheme="majorHAnsi" w:eastAsia="Times New Roman" w:hAnsiTheme="majorHAnsi" w:cs="Arial"/>
          <w:color w:val="222222"/>
          <w:sz w:val="18"/>
          <w:szCs w:val="18"/>
        </w:rPr>
        <w:t>postocu</w:t>
      </w:r>
      <w:r w:rsidR="005C678D" w:rsidRPr="005C678D">
        <w:rPr>
          <w:rFonts w:asciiTheme="majorHAnsi" w:eastAsia="Times New Roman" w:hAnsiTheme="majorHAnsi" w:cs="Arial"/>
          <w:color w:val="222222"/>
          <w:sz w:val="18"/>
          <w:szCs w:val="18"/>
        </w:rPr>
        <w:t>pacional</w:t>
      </w:r>
      <w:proofErr w:type="spellEnd"/>
      <w:r w:rsidRPr="005C678D">
        <w:rPr>
          <w:rFonts w:asciiTheme="majorHAnsi" w:eastAsia="Times New Roman" w:hAnsiTheme="majorHAnsi" w:cs="Arial"/>
          <w:color w:val="222222"/>
          <w:sz w:val="18"/>
          <w:szCs w:val="18"/>
        </w:rPr>
        <w:t xml:space="preserve">, y esa empresa </w:t>
      </w:r>
      <w:r w:rsidR="005C678D" w:rsidRPr="005C678D">
        <w:rPr>
          <w:rFonts w:asciiTheme="majorHAnsi" w:eastAsia="Times New Roman" w:hAnsiTheme="majorHAnsi" w:cs="Arial"/>
          <w:color w:val="222222"/>
          <w:sz w:val="18"/>
          <w:szCs w:val="18"/>
        </w:rPr>
        <w:t>está</w:t>
      </w:r>
      <w:r w:rsidRPr="005C678D">
        <w:rPr>
          <w:rFonts w:asciiTheme="majorHAnsi" w:eastAsia="Times New Roman" w:hAnsiTheme="majorHAnsi" w:cs="Arial"/>
          <w:color w:val="222222"/>
          <w:sz w:val="18"/>
          <w:szCs w:val="18"/>
        </w:rPr>
        <w:t xml:space="preserve"> adherida </w:t>
      </w:r>
      <w:r w:rsidR="005C678D" w:rsidRPr="005C678D">
        <w:rPr>
          <w:rFonts w:asciiTheme="majorHAnsi" w:eastAsia="Times New Roman" w:hAnsiTheme="majorHAnsi" w:cs="Arial"/>
          <w:color w:val="222222"/>
          <w:sz w:val="18"/>
          <w:szCs w:val="18"/>
        </w:rPr>
        <w:t xml:space="preserve">o afiliada </w:t>
      </w:r>
      <w:r w:rsidRPr="005C678D">
        <w:rPr>
          <w:rFonts w:asciiTheme="majorHAnsi" w:eastAsia="Times New Roman" w:hAnsiTheme="majorHAnsi" w:cs="Arial"/>
          <w:color w:val="222222"/>
          <w:sz w:val="18"/>
          <w:szCs w:val="18"/>
        </w:rPr>
        <w:t>al OA, se debe contar como empresa en vigilancia de salud</w:t>
      </w:r>
    </w:p>
    <w:p w:rsidR="005966E9" w:rsidRDefault="00873889" w:rsidP="005966E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N°9:</w:t>
      </w:r>
      <w:r w:rsidRPr="005C678D">
        <w:rPr>
          <w:rFonts w:asciiTheme="majorHAnsi" w:eastAsia="Times New Roman" w:hAnsiTheme="majorHAnsi" w:cs="Arial"/>
          <w:color w:val="222222"/>
          <w:sz w:val="18"/>
          <w:szCs w:val="18"/>
        </w:rPr>
        <w:t>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SIN RESPUESTA A PROGRAMAS DE VIGILANCIA SALUD</w:t>
      </w:r>
    </w:p>
    <w:p w:rsidR="00D2395E" w:rsidRPr="005C678D" w:rsidRDefault="00873889" w:rsidP="005966E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considerará el </w:t>
      </w:r>
      <w:r w:rsidR="00836301" w:rsidRPr="005C678D">
        <w:rPr>
          <w:rFonts w:asciiTheme="majorHAnsi" w:eastAsia="Times New Roman" w:hAnsiTheme="majorHAnsi" w:cs="Arial"/>
          <w:color w:val="222222"/>
          <w:sz w:val="18"/>
          <w:szCs w:val="18"/>
        </w:rPr>
        <w:t>número</w:t>
      </w:r>
      <w:r w:rsidRPr="005C678D">
        <w:rPr>
          <w:rFonts w:asciiTheme="majorHAnsi" w:eastAsia="Times New Roman" w:hAnsiTheme="majorHAnsi" w:cs="Arial"/>
          <w:color w:val="222222"/>
          <w:sz w:val="18"/>
          <w:szCs w:val="18"/>
        </w:rPr>
        <w:t xml:space="preserve"> de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que no responden a la vigilancia de salud </w:t>
      </w:r>
      <w:r w:rsidR="005C678D" w:rsidRPr="005C678D">
        <w:rPr>
          <w:rFonts w:asciiTheme="majorHAnsi" w:eastAsia="Times New Roman" w:hAnsiTheme="majorHAnsi" w:cs="Arial"/>
          <w:color w:val="222222"/>
          <w:sz w:val="18"/>
          <w:szCs w:val="18"/>
        </w:rPr>
        <w:t>en año en curs</w:t>
      </w:r>
      <w:r w:rsidRPr="005C678D">
        <w:rPr>
          <w:rFonts w:asciiTheme="majorHAnsi" w:eastAsia="Times New Roman" w:hAnsiTheme="majorHAnsi" w:cs="Arial"/>
          <w:color w:val="222222"/>
          <w:sz w:val="18"/>
          <w:szCs w:val="18"/>
        </w:rPr>
        <w:t>o</w:t>
      </w:r>
      <w:r w:rsidR="005C678D" w:rsidRPr="005C678D">
        <w:rPr>
          <w:rFonts w:asciiTheme="majorHAnsi" w:eastAsia="Times New Roman" w:hAnsiTheme="majorHAnsi" w:cs="Arial"/>
          <w:color w:val="222222"/>
          <w:sz w:val="18"/>
          <w:szCs w:val="18"/>
        </w:rPr>
        <w:t xml:space="preserve"> o </w:t>
      </w:r>
      <w:r w:rsidRPr="005C678D">
        <w:rPr>
          <w:rFonts w:asciiTheme="majorHAnsi" w:eastAsia="Times New Roman" w:hAnsiTheme="majorHAnsi" w:cs="Arial"/>
          <w:color w:val="222222"/>
          <w:sz w:val="18"/>
          <w:szCs w:val="18"/>
        </w:rPr>
        <w:t xml:space="preserve"> bien a las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en las que los trabajadores se rehúsen a la evaluación</w:t>
      </w:r>
      <w:proofErr w:type="gramStart"/>
      <w:r w:rsidR="005C678D" w:rsidRPr="005C678D">
        <w:rPr>
          <w:rFonts w:asciiTheme="majorHAnsi" w:eastAsia="Times New Roman" w:hAnsiTheme="majorHAnsi" w:cs="Arial"/>
          <w:color w:val="222222"/>
          <w:sz w:val="18"/>
          <w:szCs w:val="18"/>
        </w:rPr>
        <w:t>.</w:t>
      </w:r>
      <w:r w:rsidR="004F3DF0" w:rsidRPr="005C678D">
        <w:rPr>
          <w:rFonts w:asciiTheme="majorHAnsi" w:hAnsiTheme="majorHAnsi"/>
          <w:sz w:val="18"/>
          <w:szCs w:val="18"/>
        </w:rPr>
        <w:t>.</w:t>
      </w:r>
      <w:proofErr w:type="gramEnd"/>
    </w:p>
    <w:tbl>
      <w:tblPr>
        <w:tblStyle w:val="a"/>
        <w:tblpPr w:leftFromText="141" w:rightFromText="141" w:vertAnchor="text" w:tblpX="-70" w:tblpY="1"/>
        <w:tblOverlap w:val="never"/>
        <w:tblW w:w="17520" w:type="dxa"/>
        <w:tblInd w:w="0" w:type="dxa"/>
        <w:tblLayout w:type="fixed"/>
        <w:tblLook w:val="0400" w:firstRow="0" w:lastRow="0" w:firstColumn="0" w:lastColumn="0" w:noHBand="0" w:noVBand="1"/>
      </w:tblPr>
      <w:tblGrid>
        <w:gridCol w:w="752"/>
        <w:gridCol w:w="993"/>
        <w:gridCol w:w="638"/>
        <w:gridCol w:w="476"/>
        <w:gridCol w:w="545"/>
        <w:gridCol w:w="640"/>
        <w:gridCol w:w="626"/>
        <w:gridCol w:w="545"/>
        <w:gridCol w:w="545"/>
        <w:gridCol w:w="544"/>
        <w:gridCol w:w="544"/>
        <w:gridCol w:w="544"/>
        <w:gridCol w:w="544"/>
        <w:gridCol w:w="544"/>
        <w:gridCol w:w="639"/>
        <w:gridCol w:w="625"/>
        <w:gridCol w:w="544"/>
        <w:gridCol w:w="639"/>
        <w:gridCol w:w="625"/>
        <w:gridCol w:w="544"/>
        <w:gridCol w:w="639"/>
        <w:gridCol w:w="625"/>
        <w:gridCol w:w="544"/>
        <w:gridCol w:w="639"/>
        <w:gridCol w:w="625"/>
        <w:gridCol w:w="544"/>
        <w:gridCol w:w="639"/>
        <w:gridCol w:w="625"/>
        <w:gridCol w:w="544"/>
      </w:tblGrid>
      <w:tr w:rsidR="00D2395E" w:rsidTr="000611FB">
        <w:trPr>
          <w:trHeight w:val="500"/>
        </w:trPr>
        <w:tc>
          <w:tcPr>
            <w:tcW w:w="752" w:type="dxa"/>
            <w:vMerge w:val="restart"/>
            <w:tcBorders>
              <w:top w:val="single" w:sz="8" w:space="0" w:color="000000"/>
              <w:left w:val="single" w:sz="8" w:space="0" w:color="000000"/>
              <w:bottom w:val="single" w:sz="8" w:space="0" w:color="000000"/>
              <w:right w:val="single" w:sz="4" w:space="0" w:color="000000"/>
            </w:tcBorders>
            <w:shd w:val="clear" w:color="auto" w:fill="FFFFFF"/>
            <w:vAlign w:val="center"/>
          </w:tcPr>
          <w:p w:rsidR="00D2395E" w:rsidRDefault="004F3DF0" w:rsidP="000611FB">
            <w:pPr>
              <w:jc w:val="center"/>
            </w:pPr>
            <w:r>
              <w:rPr>
                <w:b/>
                <w:sz w:val="14"/>
                <w:szCs w:val="14"/>
              </w:rPr>
              <w:t>NACIONAL</w:t>
            </w:r>
          </w:p>
        </w:tc>
        <w:tc>
          <w:tcPr>
            <w:tcW w:w="993" w:type="dxa"/>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4F3DF0" w:rsidP="000611FB">
            <w:pPr>
              <w:jc w:val="center"/>
            </w:pPr>
            <w:r>
              <w:rPr>
                <w:sz w:val="14"/>
                <w:szCs w:val="14"/>
              </w:rPr>
              <w:t>Rubro</w:t>
            </w:r>
          </w:p>
        </w:tc>
        <w:tc>
          <w:tcPr>
            <w:tcW w:w="1659"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Entidades empleadoras  con posible presencia de sílice (universo)</w:t>
            </w:r>
            <w:r w:rsidR="00595547">
              <w:rPr>
                <w:rFonts w:asciiTheme="majorHAnsi" w:eastAsia="Times New Roman" w:hAnsiTheme="majorHAnsi" w:cs="Arial"/>
                <w:color w:val="222222"/>
                <w:sz w:val="16"/>
                <w:szCs w:val="16"/>
              </w:rPr>
              <w:t xml:space="preserve"> (1)</w:t>
            </w:r>
          </w:p>
        </w:tc>
        <w:tc>
          <w:tcPr>
            <w:tcW w:w="1811"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 xml:space="preserve">Entidades empleadoras evaluadas acumuladas </w:t>
            </w:r>
            <w:r w:rsidR="005C678D" w:rsidRPr="000611FB">
              <w:rPr>
                <w:rFonts w:asciiTheme="majorHAnsi" w:eastAsia="Times New Roman" w:hAnsiTheme="majorHAnsi" w:cs="Arial"/>
                <w:color w:val="222222"/>
                <w:sz w:val="16"/>
                <w:szCs w:val="16"/>
              </w:rPr>
              <w:t xml:space="preserve">2010- </w:t>
            </w:r>
            <w:r w:rsidRPr="000611FB">
              <w:rPr>
                <w:rFonts w:asciiTheme="majorHAnsi" w:eastAsia="Times New Roman" w:hAnsiTheme="majorHAnsi" w:cs="Arial"/>
                <w:color w:val="222222"/>
                <w:sz w:val="16"/>
                <w:szCs w:val="16"/>
              </w:rPr>
              <w:t>en adelante (cobertura)</w:t>
            </w:r>
            <w:r w:rsidR="00595547">
              <w:rPr>
                <w:rFonts w:asciiTheme="majorHAnsi" w:eastAsia="Times New Roman" w:hAnsiTheme="majorHAnsi" w:cs="Arial"/>
                <w:color w:val="222222"/>
                <w:sz w:val="16"/>
                <w:szCs w:val="16"/>
              </w:rPr>
              <w:t xml:space="preserve"> (2)</w:t>
            </w:r>
          </w:p>
        </w:tc>
        <w:tc>
          <w:tcPr>
            <w:tcW w:w="1633"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5C678D" w:rsidRPr="000611FB" w:rsidRDefault="005C678D" w:rsidP="000611FB">
            <w:pPr>
              <w:shd w:val="clear" w:color="auto" w:fill="FFFFFF"/>
              <w:jc w:val="center"/>
              <w:rPr>
                <w:rFonts w:asciiTheme="majorHAnsi" w:eastAsia="Times New Roman" w:hAnsiTheme="majorHAnsi" w:cs="Arial"/>
                <w:color w:val="222222"/>
                <w:sz w:val="16"/>
                <w:szCs w:val="16"/>
              </w:rPr>
            </w:pPr>
            <w:r w:rsidRPr="000611FB">
              <w:rPr>
                <w:rFonts w:asciiTheme="majorHAnsi" w:eastAsia="Times New Roman" w:hAnsiTheme="majorHAnsi" w:cs="Arial"/>
                <w:color w:val="222222"/>
                <w:sz w:val="16"/>
                <w:szCs w:val="16"/>
              </w:rPr>
              <w:t>E</w:t>
            </w:r>
            <w:r w:rsidR="000611FB" w:rsidRPr="000611FB">
              <w:rPr>
                <w:rFonts w:asciiTheme="majorHAnsi" w:eastAsia="Times New Roman" w:hAnsiTheme="majorHAnsi" w:cs="Arial"/>
                <w:color w:val="222222"/>
                <w:sz w:val="16"/>
                <w:szCs w:val="16"/>
              </w:rPr>
              <w:t xml:space="preserve">ntidades empleadoras nuevas evaluadas en el año en curso (meta </w:t>
            </w:r>
            <w:r w:rsidR="000611FB">
              <w:rPr>
                <w:rFonts w:asciiTheme="majorHAnsi" w:eastAsia="Times New Roman" w:hAnsiTheme="majorHAnsi" w:cs="Arial"/>
                <w:color w:val="222222"/>
                <w:sz w:val="16"/>
                <w:szCs w:val="16"/>
              </w:rPr>
              <w:t>SUSESO</w:t>
            </w:r>
            <w:r w:rsidR="000611FB" w:rsidRPr="000611FB">
              <w:rPr>
                <w:rFonts w:asciiTheme="majorHAnsi" w:eastAsia="Times New Roman" w:hAnsiTheme="majorHAnsi" w:cs="Arial"/>
                <w:color w:val="222222"/>
                <w:sz w:val="16"/>
                <w:szCs w:val="16"/>
              </w:rPr>
              <w:t>) </w:t>
            </w:r>
            <w:r w:rsidR="000611FB" w:rsidRPr="000611FB">
              <w:rPr>
                <w:rFonts w:asciiTheme="majorHAnsi" w:eastAsia="Times New Roman" w:hAnsiTheme="majorHAnsi" w:cs="Arial"/>
                <w:color w:val="222222"/>
                <w:sz w:val="16"/>
                <w:szCs w:val="16"/>
                <w:shd w:val="clear" w:color="auto" w:fill="FFFFFF"/>
              </w:rPr>
              <w:t>en rigor a 31 de dic del año que se evalúa.</w:t>
            </w:r>
            <w:r w:rsidR="00595547">
              <w:rPr>
                <w:rFonts w:asciiTheme="majorHAnsi" w:eastAsia="Times New Roman" w:hAnsiTheme="majorHAnsi" w:cs="Arial"/>
                <w:color w:val="222222"/>
                <w:sz w:val="16"/>
                <w:szCs w:val="16"/>
              </w:rPr>
              <w:t>(3)</w:t>
            </w:r>
          </w:p>
          <w:p w:rsidR="00D2395E" w:rsidRPr="000611FB" w:rsidRDefault="00D2395E" w:rsidP="000611FB">
            <w:pPr>
              <w:jc w:val="center"/>
              <w:rPr>
                <w:sz w:val="16"/>
                <w:szCs w:val="16"/>
              </w:rPr>
            </w:pPr>
          </w:p>
        </w:tc>
        <w:tc>
          <w:tcPr>
            <w:tcW w:w="1632"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0611FB" w:rsidRPr="000611FB" w:rsidRDefault="000611FB" w:rsidP="000611FB">
            <w:pPr>
              <w:shd w:val="clear" w:color="auto" w:fill="FFFFFF"/>
              <w:jc w:val="center"/>
              <w:rPr>
                <w:rFonts w:asciiTheme="majorHAnsi" w:eastAsia="Times New Roman" w:hAnsiTheme="majorHAnsi" w:cs="Arial"/>
                <w:color w:val="222222"/>
                <w:sz w:val="16"/>
                <w:szCs w:val="16"/>
              </w:rPr>
            </w:pPr>
            <w:r w:rsidRPr="000611FB">
              <w:rPr>
                <w:rFonts w:asciiTheme="majorHAnsi" w:eastAsia="Times New Roman" w:hAnsiTheme="majorHAnsi" w:cs="Arial"/>
                <w:color w:val="222222"/>
                <w:sz w:val="16"/>
                <w:szCs w:val="16"/>
              </w:rPr>
              <w:t>Entidades empleadoras reevaluadas en el año en curso. En rigor se registra al 31 de dic del año que se evalúa.</w:t>
            </w:r>
            <w:r w:rsidR="00595547">
              <w:rPr>
                <w:rFonts w:asciiTheme="majorHAnsi" w:eastAsia="Times New Roman" w:hAnsiTheme="majorHAnsi" w:cs="Arial"/>
                <w:color w:val="222222"/>
                <w:sz w:val="16"/>
                <w:szCs w:val="16"/>
              </w:rPr>
              <w:t>(4)</w:t>
            </w:r>
          </w:p>
          <w:p w:rsidR="00D2395E" w:rsidRPr="000611FB" w:rsidRDefault="00D2395E" w:rsidP="000611FB">
            <w:pPr>
              <w:jc w:val="center"/>
              <w:rPr>
                <w:sz w:val="16"/>
                <w:szCs w:val="16"/>
              </w:rPr>
            </w:pPr>
          </w:p>
        </w:tc>
        <w:tc>
          <w:tcPr>
            <w:tcW w:w="1808"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Entidades empleadoras sin presencia de sílice durante el año en curso</w:t>
            </w:r>
            <w:r w:rsidR="00595547">
              <w:rPr>
                <w:rFonts w:asciiTheme="majorHAnsi" w:eastAsia="Times New Roman" w:hAnsiTheme="majorHAnsi" w:cs="Arial"/>
                <w:color w:val="222222"/>
                <w:sz w:val="16"/>
                <w:szCs w:val="16"/>
              </w:rPr>
              <w:t>(5)</w:t>
            </w:r>
          </w:p>
        </w:tc>
        <w:tc>
          <w:tcPr>
            <w:tcW w:w="1808"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Pr="000611FB" w:rsidRDefault="000611FB" w:rsidP="00595547">
            <w:pPr>
              <w:jc w:val="center"/>
              <w:rPr>
                <w:sz w:val="16"/>
                <w:szCs w:val="16"/>
              </w:rPr>
            </w:pPr>
            <w:r w:rsidRPr="000611FB">
              <w:rPr>
                <w:rFonts w:asciiTheme="majorHAnsi" w:eastAsia="Times New Roman" w:hAnsiTheme="majorHAnsi" w:cs="Arial"/>
                <w:color w:val="222222"/>
                <w:sz w:val="16"/>
                <w:szCs w:val="16"/>
                <w:shd w:val="clear" w:color="auto" w:fill="FFFFFF"/>
              </w:rPr>
              <w:t>Entidades empleadoras con presencia de sílice durante el año en curso</w:t>
            </w:r>
            <w:r w:rsidR="00595547">
              <w:rPr>
                <w:rFonts w:asciiTheme="majorHAnsi" w:eastAsia="Times New Roman" w:hAnsiTheme="majorHAnsi" w:cs="Arial"/>
                <w:color w:val="222222"/>
                <w:sz w:val="16"/>
                <w:szCs w:val="16"/>
              </w:rPr>
              <w:t xml:space="preserve"> (6)</w:t>
            </w:r>
          </w:p>
        </w:tc>
        <w:tc>
          <w:tcPr>
            <w:tcW w:w="1808"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Entidades empleadoras evaluadas,  año en curso, con trabajadores expuestos a sílice, sujetos a vigilancia de salud</w:t>
            </w:r>
            <w:r w:rsidR="00595547">
              <w:rPr>
                <w:rFonts w:asciiTheme="majorHAnsi" w:eastAsia="Times New Roman" w:hAnsiTheme="majorHAnsi" w:cs="Arial"/>
                <w:color w:val="222222"/>
                <w:sz w:val="16"/>
                <w:szCs w:val="16"/>
              </w:rPr>
              <w:t xml:space="preserve"> (7)</w:t>
            </w:r>
          </w:p>
        </w:tc>
        <w:tc>
          <w:tcPr>
            <w:tcW w:w="1808" w:type="dxa"/>
            <w:gridSpan w:val="3"/>
            <w:vMerge w:val="restart"/>
            <w:tcBorders>
              <w:top w:val="single" w:sz="8" w:space="0" w:color="000000"/>
              <w:left w:val="single" w:sz="4" w:space="0" w:color="000000"/>
              <w:bottom w:val="single" w:sz="4" w:space="0" w:color="000000"/>
              <w:right w:val="single" w:sz="8"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Entidades empleadoras evaluadas año en curso, ingresados a programas vigilancia salud</w:t>
            </w:r>
            <w:r w:rsidR="00595547">
              <w:rPr>
                <w:rFonts w:asciiTheme="majorHAnsi" w:eastAsia="Times New Roman" w:hAnsiTheme="majorHAnsi" w:cs="Arial"/>
                <w:color w:val="222222"/>
                <w:sz w:val="16"/>
                <w:szCs w:val="16"/>
              </w:rPr>
              <w:t xml:space="preserve"> (8)</w:t>
            </w:r>
          </w:p>
        </w:tc>
        <w:tc>
          <w:tcPr>
            <w:tcW w:w="1808" w:type="dxa"/>
            <w:gridSpan w:val="3"/>
            <w:vMerge w:val="restart"/>
            <w:tcBorders>
              <w:top w:val="single" w:sz="8" w:space="0" w:color="000000"/>
              <w:left w:val="single" w:sz="4" w:space="0" w:color="000000"/>
              <w:bottom w:val="single" w:sz="4" w:space="0" w:color="000000"/>
              <w:right w:val="single" w:sz="8"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Entidades empleadoras sin respuesta a programas de vigilancia salud</w:t>
            </w:r>
            <w:r w:rsidR="002D4DF7">
              <w:rPr>
                <w:rFonts w:asciiTheme="majorHAnsi" w:eastAsia="Times New Roman" w:hAnsiTheme="majorHAnsi" w:cs="Arial"/>
                <w:color w:val="222222"/>
                <w:sz w:val="16"/>
                <w:szCs w:val="16"/>
              </w:rPr>
              <w:t xml:space="preserve"> </w:t>
            </w:r>
            <w:r w:rsidR="00595547">
              <w:rPr>
                <w:rFonts w:asciiTheme="majorHAnsi" w:eastAsia="Times New Roman" w:hAnsiTheme="majorHAnsi" w:cs="Arial"/>
                <w:color w:val="222222"/>
                <w:sz w:val="16"/>
                <w:szCs w:val="16"/>
              </w:rPr>
              <w:t>(9)</w:t>
            </w:r>
          </w:p>
        </w:tc>
      </w:tr>
      <w:tr w:rsidR="00D2395E" w:rsidTr="000611FB">
        <w:trPr>
          <w:trHeight w:val="4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993" w:type="dxa"/>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659"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11"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633"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632"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08"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08"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08"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08" w:type="dxa"/>
            <w:gridSpan w:val="3"/>
            <w:vMerge/>
            <w:tcBorders>
              <w:top w:val="single" w:sz="8" w:space="0" w:color="000000"/>
              <w:left w:val="single" w:sz="4" w:space="0" w:color="000000"/>
              <w:bottom w:val="single" w:sz="4" w:space="0" w:color="000000"/>
              <w:right w:val="single" w:sz="8"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08" w:type="dxa"/>
            <w:gridSpan w:val="3"/>
            <w:vMerge/>
            <w:tcBorders>
              <w:top w:val="single" w:sz="8" w:space="0" w:color="000000"/>
              <w:left w:val="single" w:sz="4" w:space="0" w:color="000000"/>
              <w:bottom w:val="single" w:sz="4" w:space="0" w:color="000000"/>
              <w:right w:val="single" w:sz="8"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r>
      <w:tr w:rsidR="000611FB" w:rsidTr="000611FB">
        <w:trPr>
          <w:trHeight w:val="48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vMerge/>
            <w:tcBorders>
              <w:top w:val="single" w:sz="8" w:space="0" w:color="000000"/>
              <w:left w:val="single" w:sz="4" w:space="0" w:color="000000"/>
              <w:bottom w:val="single" w:sz="4"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638"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476"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M *</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640"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6"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8" w:space="0" w:color="000000"/>
            </w:tcBorders>
            <w:shd w:val="clear" w:color="auto" w:fill="FFFFFF"/>
            <w:vAlign w:val="center"/>
          </w:tcPr>
          <w:p w:rsidR="000611FB" w:rsidRDefault="000611FB" w:rsidP="000611FB">
            <w:r>
              <w:rPr>
                <w:sz w:val="14"/>
                <w:szCs w:val="14"/>
              </w:rPr>
              <w:t>G</w:t>
            </w:r>
          </w:p>
        </w:tc>
        <w:tc>
          <w:tcPr>
            <w:tcW w:w="639" w:type="dxa"/>
            <w:tcBorders>
              <w:top w:val="nil"/>
              <w:left w:val="single" w:sz="4" w:space="0" w:color="000000"/>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8" w:space="0" w:color="000000"/>
            </w:tcBorders>
            <w:shd w:val="clear" w:color="auto" w:fill="FFFFFF"/>
            <w:vAlign w:val="center"/>
          </w:tcPr>
          <w:p w:rsidR="000611FB" w:rsidRDefault="000611FB" w:rsidP="000611FB">
            <w:r>
              <w:rPr>
                <w:sz w:val="14"/>
                <w:szCs w:val="14"/>
              </w:rPr>
              <w:t>G</w:t>
            </w:r>
          </w:p>
        </w:tc>
      </w:tr>
      <w:tr w:rsidR="000611FB" w:rsidTr="000611FB">
        <w:trPr>
          <w:trHeight w:val="36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b/>
                <w:sz w:val="14"/>
                <w:szCs w:val="14"/>
              </w:rPr>
              <w:t> </w:t>
            </w:r>
          </w:p>
        </w:tc>
        <w:tc>
          <w:tcPr>
            <w:tcW w:w="638"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476"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640"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6"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8" w:space="0" w:color="000000"/>
            </w:tcBorders>
            <w:shd w:val="clear" w:color="auto" w:fill="FFFFFF"/>
            <w:vAlign w:val="center"/>
          </w:tcPr>
          <w:p w:rsidR="000611FB" w:rsidRDefault="000611FB" w:rsidP="000611FB">
            <w:pPr>
              <w:jc w:val="center"/>
            </w:pPr>
            <w:r>
              <w:rPr>
                <w:sz w:val="14"/>
                <w:szCs w:val="14"/>
              </w:rPr>
              <w:t>&gt;100</w:t>
            </w:r>
          </w:p>
        </w:tc>
        <w:tc>
          <w:tcPr>
            <w:tcW w:w="639" w:type="dxa"/>
            <w:tcBorders>
              <w:top w:val="nil"/>
              <w:left w:val="single" w:sz="4" w:space="0" w:color="000000"/>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8" w:space="0" w:color="000000"/>
            </w:tcBorders>
            <w:shd w:val="clear" w:color="auto" w:fill="FFFFFF"/>
            <w:vAlign w:val="center"/>
          </w:tcPr>
          <w:p w:rsidR="000611FB" w:rsidRDefault="000611FB" w:rsidP="000611FB">
            <w:pPr>
              <w:jc w:val="center"/>
            </w:pPr>
            <w:r>
              <w:rPr>
                <w:sz w:val="14"/>
                <w:szCs w:val="14"/>
              </w:rPr>
              <w:t>&gt;100</w:t>
            </w:r>
          </w:p>
        </w:tc>
      </w:tr>
      <w:tr w:rsidR="000611FB" w:rsidTr="000611FB">
        <w:trPr>
          <w:trHeight w:val="46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4" w:space="0" w:color="000000"/>
              <w:right w:val="single" w:sz="4" w:space="0" w:color="000000"/>
            </w:tcBorders>
            <w:shd w:val="clear" w:color="auto" w:fill="FFFFFF"/>
            <w:vAlign w:val="bottom"/>
          </w:tcPr>
          <w:p w:rsidR="000611FB" w:rsidRDefault="000611FB" w:rsidP="000611FB">
            <w:r>
              <w:rPr>
                <w:b/>
                <w:sz w:val="14"/>
                <w:szCs w:val="14"/>
              </w:rPr>
              <w:t>Explotación de Minas y Canteras</w:t>
            </w:r>
          </w:p>
        </w:tc>
        <w:tc>
          <w:tcPr>
            <w:tcW w:w="638"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47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40"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r>
      <w:tr w:rsidR="000611FB" w:rsidTr="000611FB">
        <w:trPr>
          <w:trHeight w:val="3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4" w:space="0" w:color="000000"/>
              <w:right w:val="single" w:sz="4" w:space="0" w:color="000000"/>
            </w:tcBorders>
            <w:shd w:val="clear" w:color="auto" w:fill="FFFFFF"/>
            <w:vAlign w:val="bottom"/>
          </w:tcPr>
          <w:p w:rsidR="000611FB" w:rsidRDefault="000611FB" w:rsidP="000611FB">
            <w:r>
              <w:rPr>
                <w:b/>
                <w:sz w:val="14"/>
                <w:szCs w:val="14"/>
              </w:rPr>
              <w:t>Construcción</w:t>
            </w:r>
          </w:p>
        </w:tc>
        <w:tc>
          <w:tcPr>
            <w:tcW w:w="638"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47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40"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r>
      <w:tr w:rsidR="000611FB" w:rsidTr="000611FB">
        <w:trPr>
          <w:trHeight w:val="3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4" w:space="0" w:color="000000"/>
              <w:right w:val="single" w:sz="4" w:space="0" w:color="000000"/>
            </w:tcBorders>
            <w:shd w:val="clear" w:color="auto" w:fill="FFFFFF"/>
            <w:vAlign w:val="bottom"/>
          </w:tcPr>
          <w:p w:rsidR="000611FB" w:rsidRDefault="000611FB" w:rsidP="000611FB">
            <w:r>
              <w:rPr>
                <w:b/>
                <w:sz w:val="14"/>
                <w:szCs w:val="14"/>
              </w:rPr>
              <w:t>Industria Manufacturera</w:t>
            </w:r>
          </w:p>
        </w:tc>
        <w:tc>
          <w:tcPr>
            <w:tcW w:w="638"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47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40"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r>
      <w:tr w:rsidR="000611FB" w:rsidTr="000611FB">
        <w:trPr>
          <w:trHeight w:val="3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4" w:space="0" w:color="000000"/>
              <w:right w:val="single" w:sz="4" w:space="0" w:color="000000"/>
            </w:tcBorders>
            <w:shd w:val="clear" w:color="auto" w:fill="FFFFFF"/>
            <w:vAlign w:val="bottom"/>
          </w:tcPr>
          <w:p w:rsidR="000611FB" w:rsidRDefault="000611FB" w:rsidP="000611FB">
            <w:r>
              <w:rPr>
                <w:b/>
                <w:sz w:val="14"/>
                <w:szCs w:val="14"/>
              </w:rPr>
              <w:t>Comercio, servicios y otras</w:t>
            </w:r>
          </w:p>
        </w:tc>
        <w:tc>
          <w:tcPr>
            <w:tcW w:w="638"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47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40"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r>
      <w:tr w:rsidR="000611FB" w:rsidTr="000611FB">
        <w:trPr>
          <w:trHeight w:val="3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pPr>
          </w:p>
        </w:tc>
        <w:tc>
          <w:tcPr>
            <w:tcW w:w="993" w:type="dxa"/>
            <w:tcBorders>
              <w:top w:val="nil"/>
              <w:left w:val="nil"/>
              <w:bottom w:val="single" w:sz="4" w:space="0" w:color="000000"/>
              <w:right w:val="single" w:sz="4" w:space="0" w:color="000000"/>
            </w:tcBorders>
            <w:shd w:val="clear" w:color="auto" w:fill="FFFFFF"/>
            <w:vAlign w:val="bottom"/>
          </w:tcPr>
          <w:p w:rsidR="000611FB" w:rsidRDefault="000611FB" w:rsidP="000611FB">
            <w:pPr>
              <w:rPr>
                <w:b/>
                <w:sz w:val="14"/>
                <w:szCs w:val="14"/>
              </w:rPr>
            </w:pPr>
            <w:r>
              <w:rPr>
                <w:b/>
                <w:sz w:val="14"/>
                <w:szCs w:val="14"/>
              </w:rPr>
              <w:t>No 56 rubros</w:t>
            </w:r>
          </w:p>
        </w:tc>
        <w:tc>
          <w:tcPr>
            <w:tcW w:w="638"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47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40"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r>
      <w:tr w:rsidR="000611FB" w:rsidTr="000611FB">
        <w:trPr>
          <w:trHeight w:val="3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8" w:space="0" w:color="000000"/>
              <w:right w:val="single" w:sz="4" w:space="0" w:color="000000"/>
            </w:tcBorders>
            <w:shd w:val="clear" w:color="auto" w:fill="FFFFFF"/>
            <w:vAlign w:val="center"/>
          </w:tcPr>
          <w:p w:rsidR="000611FB" w:rsidRDefault="000611FB" w:rsidP="000611FB">
            <w:pPr>
              <w:jc w:val="center"/>
            </w:pPr>
            <w:r>
              <w:rPr>
                <w:b/>
                <w:sz w:val="14"/>
                <w:szCs w:val="14"/>
              </w:rPr>
              <w:t>TOTAL</w:t>
            </w:r>
          </w:p>
        </w:tc>
        <w:tc>
          <w:tcPr>
            <w:tcW w:w="638"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476"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40"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6"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39"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39"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39"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39"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39"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r>
    </w:tbl>
    <w:p w:rsidR="000611FB" w:rsidRDefault="000611FB" w:rsidP="000611FB">
      <w:pPr>
        <w:spacing w:after="0" w:line="240" w:lineRule="auto"/>
        <w:rPr>
          <w:b/>
        </w:rPr>
      </w:pPr>
    </w:p>
    <w:p w:rsidR="005C678D" w:rsidRPr="000611FB" w:rsidRDefault="000611FB" w:rsidP="000611FB">
      <w:pPr>
        <w:spacing w:after="0" w:line="240" w:lineRule="auto"/>
        <w:rPr>
          <w:b/>
          <w:sz w:val="24"/>
          <w:szCs w:val="24"/>
        </w:rPr>
      </w:pPr>
      <w:r>
        <w:rPr>
          <w:b/>
        </w:rPr>
        <w:t xml:space="preserve">*Tamaño Entidad Empleadora =*P: </w:t>
      </w:r>
      <w:r w:rsidR="00595547">
        <w:rPr>
          <w:b/>
        </w:rPr>
        <w:t>pequeñas</w:t>
      </w:r>
      <w:r>
        <w:rPr>
          <w:b/>
        </w:rPr>
        <w:t>; *M: medianas; *G:</w:t>
      </w:r>
      <w:r w:rsidR="00595547">
        <w:rPr>
          <w:b/>
        </w:rPr>
        <w:t xml:space="preserve"> </w:t>
      </w:r>
      <w:r>
        <w:rPr>
          <w:b/>
        </w:rPr>
        <w:t>grandes</w:t>
      </w:r>
    </w:p>
    <w:p w:rsidR="005C678D" w:rsidRDefault="005C678D">
      <w:pPr>
        <w:spacing w:after="0" w:line="240" w:lineRule="auto"/>
        <w:jc w:val="center"/>
        <w:rPr>
          <w:b/>
        </w:rPr>
      </w:pPr>
    </w:p>
    <w:p w:rsidR="00D2395E" w:rsidRPr="00C55A90" w:rsidRDefault="00595547">
      <w:pPr>
        <w:spacing w:after="0" w:line="240" w:lineRule="auto"/>
        <w:jc w:val="center"/>
        <w:rPr>
          <w:b/>
          <w:sz w:val="24"/>
          <w:szCs w:val="24"/>
        </w:rPr>
      </w:pPr>
      <w:r w:rsidRPr="00C55A90">
        <w:rPr>
          <w:b/>
          <w:sz w:val="24"/>
          <w:szCs w:val="24"/>
        </w:rPr>
        <w:t>ANEXO N</w:t>
      </w:r>
      <w:r w:rsidR="00C55A90" w:rsidRPr="00C55A90">
        <w:rPr>
          <w:b/>
          <w:sz w:val="24"/>
          <w:szCs w:val="24"/>
        </w:rPr>
        <w:t>º</w:t>
      </w:r>
      <w:r w:rsidRPr="00C55A90">
        <w:rPr>
          <w:b/>
          <w:sz w:val="24"/>
          <w:szCs w:val="24"/>
        </w:rPr>
        <w:t xml:space="preserve"> </w:t>
      </w:r>
      <w:r w:rsidR="00C55A90" w:rsidRPr="00C55A90">
        <w:rPr>
          <w:b/>
          <w:sz w:val="24"/>
          <w:szCs w:val="24"/>
        </w:rPr>
        <w:t>1</w:t>
      </w:r>
      <w:r w:rsidR="00E0168E">
        <w:rPr>
          <w:b/>
          <w:sz w:val="24"/>
          <w:szCs w:val="24"/>
        </w:rPr>
        <w:t>5</w:t>
      </w:r>
      <w:r w:rsidR="00C55A90" w:rsidRPr="00C55A90">
        <w:rPr>
          <w:b/>
          <w:sz w:val="24"/>
          <w:szCs w:val="24"/>
        </w:rPr>
        <w:t xml:space="preserve"> </w:t>
      </w:r>
    </w:p>
    <w:p w:rsidR="00D2395E" w:rsidRPr="00C55A90" w:rsidRDefault="004F3DF0">
      <w:pPr>
        <w:spacing w:after="0" w:line="240" w:lineRule="auto"/>
        <w:jc w:val="center"/>
        <w:rPr>
          <w:sz w:val="24"/>
          <w:szCs w:val="24"/>
        </w:rPr>
      </w:pPr>
      <w:r w:rsidRPr="00C55A90">
        <w:rPr>
          <w:b/>
          <w:sz w:val="24"/>
          <w:szCs w:val="24"/>
        </w:rPr>
        <w:t>Plan nacional de erradicación</w:t>
      </w:r>
      <w:r w:rsidR="00135B86">
        <w:rPr>
          <w:b/>
          <w:sz w:val="24"/>
          <w:szCs w:val="24"/>
        </w:rPr>
        <w:t xml:space="preserve"> de la silicosis (PLANESI)</w:t>
      </w:r>
    </w:p>
    <w:p w:rsidR="00656E98" w:rsidRPr="00656E98" w:rsidRDefault="00656E98" w:rsidP="00656E98">
      <w:pPr>
        <w:shd w:val="clear" w:color="auto" w:fill="FFFFFF"/>
        <w:spacing w:after="0" w:line="240" w:lineRule="auto"/>
        <w:jc w:val="center"/>
        <w:rPr>
          <w:rFonts w:asciiTheme="majorHAnsi" w:eastAsia="Times New Roman" w:hAnsiTheme="majorHAnsi" w:cs="Arial"/>
          <w:b/>
          <w:color w:val="222222"/>
          <w:szCs w:val="18"/>
          <w:shd w:val="clear" w:color="auto" w:fill="FFFFFF"/>
        </w:rPr>
      </w:pPr>
      <w:bookmarkStart w:id="0" w:name="_gjdgxs" w:colFirst="0" w:colLast="0"/>
      <w:bookmarkEnd w:id="0"/>
      <w:r>
        <w:rPr>
          <w:rFonts w:asciiTheme="majorHAnsi" w:eastAsia="Times New Roman" w:hAnsiTheme="majorHAnsi" w:cs="Arial"/>
          <w:b/>
          <w:color w:val="222222"/>
          <w:szCs w:val="18"/>
          <w:shd w:val="clear" w:color="auto" w:fill="FFFFFF"/>
        </w:rPr>
        <w:t>(Pág. 3</w:t>
      </w:r>
      <w:r w:rsidRPr="00656E98">
        <w:rPr>
          <w:rFonts w:asciiTheme="majorHAnsi" w:eastAsia="Times New Roman" w:hAnsiTheme="majorHAnsi" w:cs="Arial"/>
          <w:b/>
          <w:color w:val="222222"/>
          <w:szCs w:val="18"/>
          <w:shd w:val="clear" w:color="auto" w:fill="FFFFFF"/>
        </w:rPr>
        <w:t>/4)</w:t>
      </w:r>
    </w:p>
    <w:p w:rsidR="00D2395E" w:rsidRPr="003F1E28" w:rsidRDefault="004F3DF0">
      <w:pPr>
        <w:spacing w:line="240" w:lineRule="auto"/>
        <w:jc w:val="both"/>
        <w:rPr>
          <w:b/>
        </w:rPr>
      </w:pPr>
      <w:r w:rsidRPr="003F1E28">
        <w:rPr>
          <w:b/>
        </w:rPr>
        <w:t xml:space="preserve">Tabla N°2. Estadígrafos  Centros </w:t>
      </w:r>
      <w:r w:rsidR="009511A5">
        <w:rPr>
          <w:b/>
        </w:rPr>
        <w:t xml:space="preserve">de trabajo a nivel nacional, </w:t>
      </w:r>
      <w:r w:rsidRPr="003F1E28">
        <w:rPr>
          <w:b/>
        </w:rPr>
        <w:t>por tamaño empresas, segmentada por reg</w:t>
      </w:r>
      <w:r w:rsidR="009511A5">
        <w:rPr>
          <w:b/>
        </w:rPr>
        <w:t>iones y por actividad económica.</w:t>
      </w:r>
    </w:p>
    <w:p w:rsidR="005C678D" w:rsidRDefault="009511A5">
      <w:pPr>
        <w:spacing w:line="240" w:lineRule="auto"/>
        <w:jc w:val="both"/>
        <w:rPr>
          <w:b/>
          <w:sz w:val="16"/>
          <w:szCs w:val="16"/>
        </w:rPr>
      </w:pPr>
      <w:r w:rsidRPr="009511A5">
        <w:rPr>
          <w:noProof/>
          <w:lang w:val="es-ES" w:eastAsia="es-ES"/>
        </w:rPr>
        <w:drawing>
          <wp:anchor distT="0" distB="0" distL="114300" distR="114300" simplePos="0" relativeHeight="251663360" behindDoc="1" locked="0" layoutInCell="1" allowOverlap="1">
            <wp:simplePos x="0" y="0"/>
            <wp:positionH relativeFrom="column">
              <wp:posOffset>8078637</wp:posOffset>
            </wp:positionH>
            <wp:positionV relativeFrom="paragraph">
              <wp:posOffset>468942</wp:posOffset>
            </wp:positionV>
            <wp:extent cx="1181100" cy="167640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110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5D0A">
        <w:rPr>
          <w:noProof/>
          <w:lang w:val="es-ES" w:eastAsia="es-ES"/>
        </w:rPr>
        <w:drawing>
          <wp:anchor distT="0" distB="0" distL="114300" distR="114300" simplePos="0" relativeHeight="251662336" behindDoc="0" locked="0" layoutInCell="1" allowOverlap="1" wp14:anchorId="5A2C588B" wp14:editId="724DB4FB">
            <wp:simplePos x="0" y="0"/>
            <wp:positionH relativeFrom="column">
              <wp:posOffset>95250</wp:posOffset>
            </wp:positionH>
            <wp:positionV relativeFrom="paragraph">
              <wp:posOffset>464820</wp:posOffset>
            </wp:positionV>
            <wp:extent cx="4972050" cy="1733550"/>
            <wp:effectExtent l="0" t="0" r="0" b="0"/>
            <wp:wrapTopAndBottom/>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2050"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A55D0A">
        <w:rPr>
          <w:noProof/>
          <w:lang w:val="es-ES" w:eastAsia="es-ES"/>
        </w:rPr>
        <mc:AlternateContent>
          <mc:Choice Requires="wps">
            <w:drawing>
              <wp:anchor distT="0" distB="0" distL="114300" distR="114300" simplePos="0" relativeHeight="251660288" behindDoc="0" locked="0" layoutInCell="1" allowOverlap="1" wp14:anchorId="45C50010" wp14:editId="31A03F94">
                <wp:simplePos x="0" y="0"/>
                <wp:positionH relativeFrom="column">
                  <wp:posOffset>6153150</wp:posOffset>
                </wp:positionH>
                <wp:positionV relativeFrom="paragraph">
                  <wp:posOffset>823595</wp:posOffset>
                </wp:positionV>
                <wp:extent cx="619125" cy="619125"/>
                <wp:effectExtent l="57150" t="19050" r="85725" b="104775"/>
                <wp:wrapNone/>
                <wp:docPr id="6" name="6 Cruz"/>
                <wp:cNvGraphicFramePr/>
                <a:graphic xmlns:a="http://schemas.openxmlformats.org/drawingml/2006/main">
                  <a:graphicData uri="http://schemas.microsoft.com/office/word/2010/wordprocessingShape">
                    <wps:wsp>
                      <wps:cNvSpPr/>
                      <wps:spPr>
                        <a:xfrm>
                          <a:off x="0" y="0"/>
                          <a:ext cx="619125" cy="619125"/>
                        </a:xfrm>
                        <a:prstGeom prst="plus">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E1F3311"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6 Cruz" o:spid="_x0000_s1026" type="#_x0000_t11" style="position:absolute;margin-left:484.5pt;margin-top:64.85pt;width:48.75pt;height:48.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" filled="f" strokecolor="black [3213]">
                <v:shadow on="t" color="black" opacity="22937f" origin=",.5" offset="0,.63889mm"/>
              </v:shape>
            </w:pict>
          </mc:Fallback>
        </mc:AlternateContent>
      </w:r>
    </w:p>
    <w:p w:rsidR="005C678D" w:rsidRDefault="005C678D">
      <w:pPr>
        <w:spacing w:line="240" w:lineRule="auto"/>
        <w:jc w:val="both"/>
        <w:rPr>
          <w:b/>
          <w:sz w:val="16"/>
          <w:szCs w:val="16"/>
        </w:rPr>
      </w:pPr>
    </w:p>
    <w:p w:rsidR="005C678D" w:rsidRDefault="005C678D">
      <w:pPr>
        <w:spacing w:line="240" w:lineRule="auto"/>
        <w:jc w:val="both"/>
        <w:rPr>
          <w:sz w:val="16"/>
          <w:szCs w:val="16"/>
        </w:rPr>
      </w:pPr>
    </w:p>
    <w:p w:rsidR="00D2395E" w:rsidRDefault="00FA25B9">
      <w:pPr>
        <w:spacing w:after="0" w:line="240" w:lineRule="auto"/>
        <w:ind w:left="360"/>
        <w:jc w:val="both"/>
        <w:rPr>
          <w:sz w:val="18"/>
          <w:szCs w:val="18"/>
        </w:rPr>
      </w:pPr>
      <w:r w:rsidRPr="00A55D0A">
        <w:rPr>
          <w:noProof/>
          <w:lang w:val="es-ES" w:eastAsia="es-ES"/>
        </w:rPr>
        <w:drawing>
          <wp:anchor distT="0" distB="0" distL="114300" distR="114300" simplePos="0" relativeHeight="251661312" behindDoc="0" locked="0" layoutInCell="1" allowOverlap="1" wp14:anchorId="73C66495" wp14:editId="1D0DA99C">
            <wp:simplePos x="0" y="0"/>
            <wp:positionH relativeFrom="column">
              <wp:posOffset>-123825</wp:posOffset>
            </wp:positionH>
            <wp:positionV relativeFrom="paragraph">
              <wp:posOffset>287655</wp:posOffset>
            </wp:positionV>
            <wp:extent cx="11449050" cy="1943100"/>
            <wp:effectExtent l="0" t="0" r="0" b="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49050"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4F3DF0">
        <w:rPr>
          <w:sz w:val="20"/>
          <w:szCs w:val="20"/>
        </w:rPr>
        <w:tab/>
      </w:r>
      <w:r w:rsidR="004F3DF0">
        <w:rPr>
          <w:sz w:val="20"/>
          <w:szCs w:val="20"/>
        </w:rPr>
        <w:tab/>
      </w:r>
    </w:p>
    <w:p w:rsidR="00D2395E" w:rsidRDefault="00D2395E">
      <w:pPr>
        <w:spacing w:after="0" w:line="240" w:lineRule="auto"/>
        <w:rPr>
          <w:b/>
          <w:sz w:val="24"/>
          <w:szCs w:val="24"/>
        </w:rPr>
      </w:pPr>
    </w:p>
    <w:p w:rsidR="002E5F09" w:rsidRDefault="002E5F09">
      <w:pPr>
        <w:spacing w:after="0" w:line="240" w:lineRule="auto"/>
        <w:jc w:val="center"/>
        <w:rPr>
          <w:b/>
          <w:sz w:val="24"/>
          <w:szCs w:val="24"/>
        </w:rPr>
      </w:pPr>
    </w:p>
    <w:p w:rsidR="002E5F09" w:rsidRDefault="002E5F09">
      <w:pPr>
        <w:spacing w:after="0" w:line="240" w:lineRule="auto"/>
        <w:jc w:val="center"/>
        <w:rPr>
          <w:b/>
          <w:sz w:val="24"/>
          <w:szCs w:val="24"/>
        </w:rPr>
      </w:pPr>
    </w:p>
    <w:p w:rsidR="00FA25B9" w:rsidRDefault="00FA25B9">
      <w:pPr>
        <w:spacing w:after="0" w:line="240" w:lineRule="auto"/>
        <w:jc w:val="center"/>
        <w:rPr>
          <w:b/>
          <w:sz w:val="24"/>
          <w:szCs w:val="24"/>
        </w:rPr>
      </w:pPr>
    </w:p>
    <w:p w:rsidR="00FA25B9" w:rsidRDefault="00FA25B9">
      <w:pPr>
        <w:spacing w:after="0" w:line="240" w:lineRule="auto"/>
        <w:jc w:val="center"/>
        <w:rPr>
          <w:b/>
          <w:sz w:val="24"/>
          <w:szCs w:val="24"/>
        </w:rPr>
      </w:pPr>
      <w:bookmarkStart w:id="1" w:name="_GoBack"/>
      <w:bookmarkEnd w:id="1"/>
    </w:p>
    <w:p w:rsidR="002E5F09" w:rsidRDefault="002E5F09">
      <w:pPr>
        <w:spacing w:after="0" w:line="240" w:lineRule="auto"/>
        <w:jc w:val="center"/>
        <w:rPr>
          <w:b/>
          <w:sz w:val="24"/>
          <w:szCs w:val="24"/>
        </w:rPr>
      </w:pPr>
    </w:p>
    <w:p w:rsidR="002E5F09" w:rsidRDefault="002E5F09" w:rsidP="003F1E28">
      <w:pPr>
        <w:spacing w:after="0" w:line="240" w:lineRule="auto"/>
        <w:rPr>
          <w:b/>
          <w:sz w:val="24"/>
          <w:szCs w:val="24"/>
        </w:rPr>
      </w:pPr>
    </w:p>
    <w:p w:rsidR="002E5F09" w:rsidRDefault="002E5F09">
      <w:pPr>
        <w:spacing w:after="0" w:line="240" w:lineRule="auto"/>
        <w:jc w:val="center"/>
        <w:rPr>
          <w:b/>
          <w:sz w:val="24"/>
          <w:szCs w:val="24"/>
        </w:rPr>
      </w:pPr>
    </w:p>
    <w:p w:rsidR="00D2395E" w:rsidRDefault="004F3DF0">
      <w:pPr>
        <w:spacing w:after="0" w:line="240" w:lineRule="auto"/>
        <w:jc w:val="center"/>
        <w:rPr>
          <w:b/>
          <w:sz w:val="24"/>
          <w:szCs w:val="24"/>
        </w:rPr>
      </w:pPr>
      <w:r w:rsidRPr="00C55A90">
        <w:rPr>
          <w:b/>
          <w:sz w:val="24"/>
          <w:szCs w:val="24"/>
        </w:rPr>
        <w:t>ANEXO N</w:t>
      </w:r>
      <w:r w:rsidR="00C55A90" w:rsidRPr="00C55A90">
        <w:rPr>
          <w:b/>
          <w:sz w:val="24"/>
          <w:szCs w:val="24"/>
        </w:rPr>
        <w:t>º</w:t>
      </w:r>
      <w:r w:rsidRPr="00C55A90">
        <w:rPr>
          <w:b/>
          <w:sz w:val="24"/>
          <w:szCs w:val="24"/>
        </w:rPr>
        <w:t xml:space="preserve"> </w:t>
      </w:r>
      <w:r w:rsidR="00C55A90" w:rsidRPr="00C55A90">
        <w:rPr>
          <w:b/>
          <w:sz w:val="24"/>
          <w:szCs w:val="24"/>
        </w:rPr>
        <w:t>1</w:t>
      </w:r>
      <w:r w:rsidR="00E0168E">
        <w:rPr>
          <w:b/>
          <w:sz w:val="24"/>
          <w:szCs w:val="24"/>
        </w:rPr>
        <w:t>5</w:t>
      </w:r>
    </w:p>
    <w:p w:rsidR="00D2395E" w:rsidRDefault="00135B86">
      <w:pPr>
        <w:spacing w:after="0" w:line="240" w:lineRule="auto"/>
        <w:jc w:val="center"/>
        <w:rPr>
          <w:sz w:val="32"/>
          <w:szCs w:val="32"/>
        </w:rPr>
      </w:pPr>
      <w:bookmarkStart w:id="2" w:name="_30j0zll" w:colFirst="0" w:colLast="0"/>
      <w:bookmarkEnd w:id="2"/>
      <w:r>
        <w:rPr>
          <w:b/>
          <w:sz w:val="28"/>
          <w:szCs w:val="28"/>
        </w:rPr>
        <w:t>Plan Nacional de Erradicación de la S</w:t>
      </w:r>
      <w:r w:rsidR="004F3DF0">
        <w:rPr>
          <w:b/>
          <w:sz w:val="28"/>
          <w:szCs w:val="28"/>
        </w:rPr>
        <w:t xml:space="preserve">ilicosis </w:t>
      </w:r>
      <w:r>
        <w:rPr>
          <w:b/>
          <w:sz w:val="28"/>
          <w:szCs w:val="28"/>
        </w:rPr>
        <w:t>(PLANESI)</w:t>
      </w:r>
    </w:p>
    <w:p w:rsidR="00D2395E" w:rsidRPr="00656E98" w:rsidRDefault="004F1F4B" w:rsidP="00656E98">
      <w:pPr>
        <w:shd w:val="clear" w:color="auto" w:fill="FFFFFF"/>
        <w:spacing w:after="0" w:line="240" w:lineRule="auto"/>
        <w:jc w:val="center"/>
        <w:rPr>
          <w:rFonts w:asciiTheme="majorHAnsi" w:eastAsia="Times New Roman" w:hAnsiTheme="majorHAnsi" w:cs="Arial"/>
          <w:b/>
          <w:color w:val="222222"/>
          <w:szCs w:val="18"/>
          <w:shd w:val="clear" w:color="auto" w:fill="FFFFFF"/>
        </w:rPr>
      </w:pPr>
      <w:r>
        <w:rPr>
          <w:rFonts w:asciiTheme="majorHAnsi" w:eastAsia="Times New Roman" w:hAnsiTheme="majorHAnsi" w:cs="Arial"/>
          <w:b/>
          <w:color w:val="222222"/>
          <w:szCs w:val="18"/>
          <w:shd w:val="clear" w:color="auto" w:fill="FFFFFF"/>
        </w:rPr>
        <w:t xml:space="preserve"> (P</w:t>
      </w:r>
      <w:r w:rsidR="00656E98" w:rsidRPr="00656E98">
        <w:rPr>
          <w:rFonts w:asciiTheme="majorHAnsi" w:eastAsia="Times New Roman" w:hAnsiTheme="majorHAnsi" w:cs="Arial"/>
          <w:b/>
          <w:color w:val="222222"/>
          <w:szCs w:val="18"/>
          <w:shd w:val="clear" w:color="auto" w:fill="FFFFFF"/>
        </w:rPr>
        <w:t>ág. 4/4</w:t>
      </w:r>
      <w:r w:rsidR="004F3DF0" w:rsidRPr="00656E98">
        <w:rPr>
          <w:rFonts w:asciiTheme="majorHAnsi" w:eastAsia="Times New Roman" w:hAnsiTheme="majorHAnsi" w:cs="Arial"/>
          <w:b/>
          <w:color w:val="222222"/>
          <w:szCs w:val="18"/>
          <w:shd w:val="clear" w:color="auto" w:fill="FFFFFF"/>
        </w:rPr>
        <w:t>)</w:t>
      </w:r>
    </w:p>
    <w:p w:rsidR="00D2395E" w:rsidRPr="003F1E28" w:rsidRDefault="004F3DF0">
      <w:pPr>
        <w:spacing w:line="240" w:lineRule="auto"/>
        <w:jc w:val="both"/>
        <w:rPr>
          <w:b/>
          <w:szCs w:val="24"/>
        </w:rPr>
      </w:pPr>
      <w:r w:rsidRPr="003F1E28">
        <w:rPr>
          <w:b/>
          <w:szCs w:val="24"/>
        </w:rPr>
        <w:t>Tabla N°3. Estadígrafos Trabajadores a ni</w:t>
      </w:r>
      <w:r w:rsidR="00595547" w:rsidRPr="003F1E28">
        <w:rPr>
          <w:b/>
          <w:szCs w:val="24"/>
        </w:rPr>
        <w:t>vel Nacion</w:t>
      </w:r>
      <w:r w:rsidR="00971F53">
        <w:rPr>
          <w:b/>
          <w:szCs w:val="24"/>
        </w:rPr>
        <w:t xml:space="preserve">al, N° de casos con enfermedad profesional </w:t>
      </w:r>
      <w:r w:rsidR="00595547" w:rsidRPr="003F1E28">
        <w:rPr>
          <w:b/>
          <w:szCs w:val="24"/>
        </w:rPr>
        <w:t>relacionado con exposición a sílice.</w:t>
      </w:r>
    </w:p>
    <w:p w:rsidR="00D2395E" w:rsidRDefault="00D2395E">
      <w:pPr>
        <w:spacing w:line="240" w:lineRule="auto"/>
      </w:pPr>
    </w:p>
    <w:p w:rsidR="00D2395E" w:rsidRDefault="00595547" w:rsidP="00595547">
      <w:pPr>
        <w:spacing w:line="240" w:lineRule="auto"/>
        <w:jc w:val="both"/>
      </w:pPr>
      <w:r w:rsidRPr="00595547">
        <w:rPr>
          <w:noProof/>
          <w:lang w:val="es-ES" w:eastAsia="es-ES"/>
        </w:rPr>
        <w:drawing>
          <wp:inline distT="0" distB="0" distL="0" distR="0" wp14:anchorId="7C4F59E5" wp14:editId="0B38B35C">
            <wp:extent cx="11391900" cy="1571625"/>
            <wp:effectExtent l="0" t="0" r="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91900" cy="1571625"/>
                    </a:xfrm>
                    <a:prstGeom prst="rect">
                      <a:avLst/>
                    </a:prstGeom>
                    <a:noFill/>
                    <a:ln>
                      <a:noFill/>
                    </a:ln>
                  </pic:spPr>
                </pic:pic>
              </a:graphicData>
            </a:graphic>
          </wp:inline>
        </w:drawing>
      </w:r>
    </w:p>
    <w:sectPr w:rsidR="00D2395E" w:rsidSect="005966E9">
      <w:pgSz w:w="18720" w:h="12240" w:orient="landscape"/>
      <w:pgMar w:top="720" w:right="720" w:bottom="720" w:left="720" w:header="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36376"/>
    <w:multiLevelType w:val="multilevel"/>
    <w:tmpl w:val="C3B235A6"/>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5DA03B0"/>
    <w:multiLevelType w:val="multilevel"/>
    <w:tmpl w:val="5B067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7225E"/>
    <w:multiLevelType w:val="hybridMultilevel"/>
    <w:tmpl w:val="76CAAF96"/>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15:restartNumberingAfterBreak="0">
    <w:nsid w:val="26A534AD"/>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82C61A5"/>
    <w:multiLevelType w:val="multilevel"/>
    <w:tmpl w:val="A92A3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556311"/>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2DA71CCA"/>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2E430BC7"/>
    <w:multiLevelType w:val="multilevel"/>
    <w:tmpl w:val="22E88756"/>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8" w15:restartNumberingAfterBreak="0">
    <w:nsid w:val="319152F0"/>
    <w:multiLevelType w:val="hybridMultilevel"/>
    <w:tmpl w:val="16D89C9A"/>
    <w:lvl w:ilvl="0" w:tplc="340A0005">
      <w:start w:val="1"/>
      <w:numFmt w:val="bullet"/>
      <w:lvlText w:val=""/>
      <w:lvlJc w:val="left"/>
      <w:pPr>
        <w:ind w:left="360" w:hanging="360"/>
      </w:pPr>
      <w:rPr>
        <w:rFonts w:ascii="Wingdings" w:hAnsi="Wingdings"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3EAF7BE7"/>
    <w:multiLevelType w:val="multilevel"/>
    <w:tmpl w:val="5C441E3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427252B8"/>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428B0AEC"/>
    <w:multiLevelType w:val="multilevel"/>
    <w:tmpl w:val="647674BA"/>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2" w15:restartNumberingAfterBreak="0">
    <w:nsid w:val="4BF96758"/>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568F7A2B"/>
    <w:multiLevelType w:val="multilevel"/>
    <w:tmpl w:val="22E87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757242"/>
    <w:multiLevelType w:val="multilevel"/>
    <w:tmpl w:val="5C441E3A"/>
    <w:lvl w:ilvl="0">
      <w:start w:val="1"/>
      <w:numFmt w:val="decimal"/>
      <w:lvlText w:val="%1."/>
      <w:lvlJc w:val="left"/>
      <w:pPr>
        <w:tabs>
          <w:tab w:val="num" w:pos="-810"/>
        </w:tabs>
        <w:ind w:left="-810" w:hanging="360"/>
      </w:pPr>
      <w:rPr>
        <w:rFonts w:hint="default"/>
        <w:sz w:val="20"/>
      </w:rPr>
    </w:lvl>
    <w:lvl w:ilvl="1" w:tentative="1">
      <w:start w:val="1"/>
      <w:numFmt w:val="bullet"/>
      <w:lvlText w:val="o"/>
      <w:lvlJc w:val="left"/>
      <w:pPr>
        <w:tabs>
          <w:tab w:val="num" w:pos="-90"/>
        </w:tabs>
        <w:ind w:left="-90" w:hanging="360"/>
      </w:pPr>
      <w:rPr>
        <w:rFonts w:ascii="Courier New" w:hAnsi="Courier New" w:hint="default"/>
        <w:sz w:val="20"/>
      </w:rPr>
    </w:lvl>
    <w:lvl w:ilvl="2" w:tentative="1">
      <w:start w:val="1"/>
      <w:numFmt w:val="bullet"/>
      <w:lvlText w:val=""/>
      <w:lvlJc w:val="left"/>
      <w:pPr>
        <w:tabs>
          <w:tab w:val="num" w:pos="630"/>
        </w:tabs>
        <w:ind w:left="630" w:hanging="360"/>
      </w:pPr>
      <w:rPr>
        <w:rFonts w:ascii="Wingdings" w:hAnsi="Wingdings" w:hint="default"/>
        <w:sz w:val="20"/>
      </w:rPr>
    </w:lvl>
    <w:lvl w:ilvl="3" w:tentative="1">
      <w:start w:val="1"/>
      <w:numFmt w:val="bullet"/>
      <w:lvlText w:val=""/>
      <w:lvlJc w:val="left"/>
      <w:pPr>
        <w:tabs>
          <w:tab w:val="num" w:pos="1350"/>
        </w:tabs>
        <w:ind w:left="1350" w:hanging="360"/>
      </w:pPr>
      <w:rPr>
        <w:rFonts w:ascii="Wingdings" w:hAnsi="Wingdings" w:hint="default"/>
        <w:sz w:val="20"/>
      </w:rPr>
    </w:lvl>
    <w:lvl w:ilvl="4" w:tentative="1">
      <w:start w:val="1"/>
      <w:numFmt w:val="bullet"/>
      <w:lvlText w:val=""/>
      <w:lvlJc w:val="left"/>
      <w:pPr>
        <w:tabs>
          <w:tab w:val="num" w:pos="2070"/>
        </w:tabs>
        <w:ind w:left="2070" w:hanging="360"/>
      </w:pPr>
      <w:rPr>
        <w:rFonts w:ascii="Wingdings" w:hAnsi="Wingdings" w:hint="default"/>
        <w:sz w:val="20"/>
      </w:rPr>
    </w:lvl>
    <w:lvl w:ilvl="5" w:tentative="1">
      <w:start w:val="1"/>
      <w:numFmt w:val="bullet"/>
      <w:lvlText w:val=""/>
      <w:lvlJc w:val="left"/>
      <w:pPr>
        <w:tabs>
          <w:tab w:val="num" w:pos="2790"/>
        </w:tabs>
        <w:ind w:left="2790" w:hanging="360"/>
      </w:pPr>
      <w:rPr>
        <w:rFonts w:ascii="Wingdings" w:hAnsi="Wingdings" w:hint="default"/>
        <w:sz w:val="20"/>
      </w:rPr>
    </w:lvl>
    <w:lvl w:ilvl="6" w:tentative="1">
      <w:start w:val="1"/>
      <w:numFmt w:val="bullet"/>
      <w:lvlText w:val=""/>
      <w:lvlJc w:val="left"/>
      <w:pPr>
        <w:tabs>
          <w:tab w:val="num" w:pos="3510"/>
        </w:tabs>
        <w:ind w:left="3510" w:hanging="360"/>
      </w:pPr>
      <w:rPr>
        <w:rFonts w:ascii="Wingdings" w:hAnsi="Wingdings" w:hint="default"/>
        <w:sz w:val="20"/>
      </w:rPr>
    </w:lvl>
    <w:lvl w:ilvl="7" w:tentative="1">
      <w:start w:val="1"/>
      <w:numFmt w:val="bullet"/>
      <w:lvlText w:val=""/>
      <w:lvlJc w:val="left"/>
      <w:pPr>
        <w:tabs>
          <w:tab w:val="num" w:pos="4230"/>
        </w:tabs>
        <w:ind w:left="4230" w:hanging="360"/>
      </w:pPr>
      <w:rPr>
        <w:rFonts w:ascii="Wingdings" w:hAnsi="Wingdings" w:hint="default"/>
        <w:sz w:val="20"/>
      </w:rPr>
    </w:lvl>
    <w:lvl w:ilvl="8" w:tentative="1">
      <w:start w:val="1"/>
      <w:numFmt w:val="bullet"/>
      <w:lvlText w:val=""/>
      <w:lvlJc w:val="left"/>
      <w:pPr>
        <w:tabs>
          <w:tab w:val="num" w:pos="4950"/>
        </w:tabs>
        <w:ind w:left="4950" w:hanging="360"/>
      </w:pPr>
      <w:rPr>
        <w:rFonts w:ascii="Wingdings" w:hAnsi="Wingdings" w:hint="default"/>
        <w:sz w:val="20"/>
      </w:rPr>
    </w:lvl>
  </w:abstractNum>
  <w:abstractNum w:abstractNumId="15" w15:restartNumberingAfterBreak="0">
    <w:nsid w:val="577E4E33"/>
    <w:multiLevelType w:val="multilevel"/>
    <w:tmpl w:val="5C441E3A"/>
    <w:lvl w:ilvl="0">
      <w:start w:val="1"/>
      <w:numFmt w:val="decimal"/>
      <w:lvlText w:val="%1."/>
      <w:lvlJc w:val="left"/>
      <w:pPr>
        <w:tabs>
          <w:tab w:val="num" w:pos="-810"/>
        </w:tabs>
        <w:ind w:left="-810" w:hanging="360"/>
      </w:pPr>
      <w:rPr>
        <w:rFonts w:hint="default"/>
        <w:sz w:val="20"/>
      </w:rPr>
    </w:lvl>
    <w:lvl w:ilvl="1" w:tentative="1">
      <w:start w:val="1"/>
      <w:numFmt w:val="bullet"/>
      <w:lvlText w:val="o"/>
      <w:lvlJc w:val="left"/>
      <w:pPr>
        <w:tabs>
          <w:tab w:val="num" w:pos="-90"/>
        </w:tabs>
        <w:ind w:left="-90" w:hanging="360"/>
      </w:pPr>
      <w:rPr>
        <w:rFonts w:ascii="Courier New" w:hAnsi="Courier New" w:hint="default"/>
        <w:sz w:val="20"/>
      </w:rPr>
    </w:lvl>
    <w:lvl w:ilvl="2" w:tentative="1">
      <w:start w:val="1"/>
      <w:numFmt w:val="bullet"/>
      <w:lvlText w:val=""/>
      <w:lvlJc w:val="left"/>
      <w:pPr>
        <w:tabs>
          <w:tab w:val="num" w:pos="630"/>
        </w:tabs>
        <w:ind w:left="630" w:hanging="360"/>
      </w:pPr>
      <w:rPr>
        <w:rFonts w:ascii="Wingdings" w:hAnsi="Wingdings" w:hint="default"/>
        <w:sz w:val="20"/>
      </w:rPr>
    </w:lvl>
    <w:lvl w:ilvl="3" w:tentative="1">
      <w:start w:val="1"/>
      <w:numFmt w:val="bullet"/>
      <w:lvlText w:val=""/>
      <w:lvlJc w:val="left"/>
      <w:pPr>
        <w:tabs>
          <w:tab w:val="num" w:pos="1350"/>
        </w:tabs>
        <w:ind w:left="1350" w:hanging="360"/>
      </w:pPr>
      <w:rPr>
        <w:rFonts w:ascii="Wingdings" w:hAnsi="Wingdings" w:hint="default"/>
        <w:sz w:val="20"/>
      </w:rPr>
    </w:lvl>
    <w:lvl w:ilvl="4" w:tentative="1">
      <w:start w:val="1"/>
      <w:numFmt w:val="bullet"/>
      <w:lvlText w:val=""/>
      <w:lvlJc w:val="left"/>
      <w:pPr>
        <w:tabs>
          <w:tab w:val="num" w:pos="2070"/>
        </w:tabs>
        <w:ind w:left="2070" w:hanging="360"/>
      </w:pPr>
      <w:rPr>
        <w:rFonts w:ascii="Wingdings" w:hAnsi="Wingdings" w:hint="default"/>
        <w:sz w:val="20"/>
      </w:rPr>
    </w:lvl>
    <w:lvl w:ilvl="5" w:tentative="1">
      <w:start w:val="1"/>
      <w:numFmt w:val="bullet"/>
      <w:lvlText w:val=""/>
      <w:lvlJc w:val="left"/>
      <w:pPr>
        <w:tabs>
          <w:tab w:val="num" w:pos="2790"/>
        </w:tabs>
        <w:ind w:left="2790" w:hanging="360"/>
      </w:pPr>
      <w:rPr>
        <w:rFonts w:ascii="Wingdings" w:hAnsi="Wingdings" w:hint="default"/>
        <w:sz w:val="20"/>
      </w:rPr>
    </w:lvl>
    <w:lvl w:ilvl="6" w:tentative="1">
      <w:start w:val="1"/>
      <w:numFmt w:val="bullet"/>
      <w:lvlText w:val=""/>
      <w:lvlJc w:val="left"/>
      <w:pPr>
        <w:tabs>
          <w:tab w:val="num" w:pos="3510"/>
        </w:tabs>
        <w:ind w:left="3510" w:hanging="360"/>
      </w:pPr>
      <w:rPr>
        <w:rFonts w:ascii="Wingdings" w:hAnsi="Wingdings" w:hint="default"/>
        <w:sz w:val="20"/>
      </w:rPr>
    </w:lvl>
    <w:lvl w:ilvl="7" w:tentative="1">
      <w:start w:val="1"/>
      <w:numFmt w:val="bullet"/>
      <w:lvlText w:val=""/>
      <w:lvlJc w:val="left"/>
      <w:pPr>
        <w:tabs>
          <w:tab w:val="num" w:pos="4230"/>
        </w:tabs>
        <w:ind w:left="4230" w:hanging="360"/>
      </w:pPr>
      <w:rPr>
        <w:rFonts w:ascii="Wingdings" w:hAnsi="Wingdings" w:hint="default"/>
        <w:sz w:val="20"/>
      </w:rPr>
    </w:lvl>
    <w:lvl w:ilvl="8" w:tentative="1">
      <w:start w:val="1"/>
      <w:numFmt w:val="bullet"/>
      <w:lvlText w:val=""/>
      <w:lvlJc w:val="left"/>
      <w:pPr>
        <w:tabs>
          <w:tab w:val="num" w:pos="4950"/>
        </w:tabs>
        <w:ind w:left="4950" w:hanging="360"/>
      </w:pPr>
      <w:rPr>
        <w:rFonts w:ascii="Wingdings" w:hAnsi="Wingdings" w:hint="default"/>
        <w:sz w:val="20"/>
      </w:rPr>
    </w:lvl>
  </w:abstractNum>
  <w:abstractNum w:abstractNumId="16" w15:restartNumberingAfterBreak="0">
    <w:nsid w:val="664822BA"/>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76281B1F"/>
    <w:multiLevelType w:val="multilevel"/>
    <w:tmpl w:val="C3B235A6"/>
    <w:lvl w:ilvl="0">
      <w:start w:val="1"/>
      <w:numFmt w:val="decimal"/>
      <w:lvlText w:val="%1."/>
      <w:lvlJc w:val="left"/>
      <w:pPr>
        <w:tabs>
          <w:tab w:val="num" w:pos="135"/>
        </w:tabs>
        <w:ind w:left="135" w:hanging="360"/>
      </w:pPr>
      <w:rPr>
        <w:rFonts w:hint="default"/>
        <w:sz w:val="20"/>
      </w:rPr>
    </w:lvl>
    <w:lvl w:ilvl="1" w:tentative="1">
      <w:start w:val="1"/>
      <w:numFmt w:val="bullet"/>
      <w:lvlText w:val="o"/>
      <w:lvlJc w:val="left"/>
      <w:pPr>
        <w:tabs>
          <w:tab w:val="num" w:pos="855"/>
        </w:tabs>
        <w:ind w:left="855" w:hanging="360"/>
      </w:pPr>
      <w:rPr>
        <w:rFonts w:ascii="Courier New" w:hAnsi="Courier New" w:hint="default"/>
        <w:sz w:val="20"/>
      </w:rPr>
    </w:lvl>
    <w:lvl w:ilvl="2" w:tentative="1">
      <w:start w:val="1"/>
      <w:numFmt w:val="bullet"/>
      <w:lvlText w:val=""/>
      <w:lvlJc w:val="left"/>
      <w:pPr>
        <w:tabs>
          <w:tab w:val="num" w:pos="1575"/>
        </w:tabs>
        <w:ind w:left="1575" w:hanging="360"/>
      </w:pPr>
      <w:rPr>
        <w:rFonts w:ascii="Wingdings" w:hAnsi="Wingdings" w:hint="default"/>
        <w:sz w:val="20"/>
      </w:rPr>
    </w:lvl>
    <w:lvl w:ilvl="3" w:tentative="1">
      <w:start w:val="1"/>
      <w:numFmt w:val="bullet"/>
      <w:lvlText w:val=""/>
      <w:lvlJc w:val="left"/>
      <w:pPr>
        <w:tabs>
          <w:tab w:val="num" w:pos="2295"/>
        </w:tabs>
        <w:ind w:left="2295" w:hanging="360"/>
      </w:pPr>
      <w:rPr>
        <w:rFonts w:ascii="Wingdings" w:hAnsi="Wingdings" w:hint="default"/>
        <w:sz w:val="20"/>
      </w:rPr>
    </w:lvl>
    <w:lvl w:ilvl="4" w:tentative="1">
      <w:start w:val="1"/>
      <w:numFmt w:val="bullet"/>
      <w:lvlText w:val=""/>
      <w:lvlJc w:val="left"/>
      <w:pPr>
        <w:tabs>
          <w:tab w:val="num" w:pos="3015"/>
        </w:tabs>
        <w:ind w:left="3015" w:hanging="360"/>
      </w:pPr>
      <w:rPr>
        <w:rFonts w:ascii="Wingdings" w:hAnsi="Wingdings" w:hint="default"/>
        <w:sz w:val="20"/>
      </w:rPr>
    </w:lvl>
    <w:lvl w:ilvl="5" w:tentative="1">
      <w:start w:val="1"/>
      <w:numFmt w:val="bullet"/>
      <w:lvlText w:val=""/>
      <w:lvlJc w:val="left"/>
      <w:pPr>
        <w:tabs>
          <w:tab w:val="num" w:pos="3735"/>
        </w:tabs>
        <w:ind w:left="3735" w:hanging="360"/>
      </w:pPr>
      <w:rPr>
        <w:rFonts w:ascii="Wingdings" w:hAnsi="Wingdings" w:hint="default"/>
        <w:sz w:val="20"/>
      </w:rPr>
    </w:lvl>
    <w:lvl w:ilvl="6" w:tentative="1">
      <w:start w:val="1"/>
      <w:numFmt w:val="bullet"/>
      <w:lvlText w:val=""/>
      <w:lvlJc w:val="left"/>
      <w:pPr>
        <w:tabs>
          <w:tab w:val="num" w:pos="4455"/>
        </w:tabs>
        <w:ind w:left="4455" w:hanging="360"/>
      </w:pPr>
      <w:rPr>
        <w:rFonts w:ascii="Wingdings" w:hAnsi="Wingdings" w:hint="default"/>
        <w:sz w:val="20"/>
      </w:rPr>
    </w:lvl>
    <w:lvl w:ilvl="7" w:tentative="1">
      <w:start w:val="1"/>
      <w:numFmt w:val="bullet"/>
      <w:lvlText w:val=""/>
      <w:lvlJc w:val="left"/>
      <w:pPr>
        <w:tabs>
          <w:tab w:val="num" w:pos="5175"/>
        </w:tabs>
        <w:ind w:left="5175" w:hanging="360"/>
      </w:pPr>
      <w:rPr>
        <w:rFonts w:ascii="Wingdings" w:hAnsi="Wingdings" w:hint="default"/>
        <w:sz w:val="20"/>
      </w:rPr>
    </w:lvl>
    <w:lvl w:ilvl="8" w:tentative="1">
      <w:start w:val="1"/>
      <w:numFmt w:val="bullet"/>
      <w:lvlText w:val=""/>
      <w:lvlJc w:val="left"/>
      <w:pPr>
        <w:tabs>
          <w:tab w:val="num" w:pos="5895"/>
        </w:tabs>
        <w:ind w:left="5895" w:hanging="360"/>
      </w:pPr>
      <w:rPr>
        <w:rFonts w:ascii="Wingdings" w:hAnsi="Wingdings" w:hint="default"/>
        <w:sz w:val="20"/>
      </w:rPr>
    </w:lvl>
  </w:abstractNum>
  <w:abstractNum w:abstractNumId="18" w15:restartNumberingAfterBreak="0">
    <w:nsid w:val="786630B6"/>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79D709ED"/>
    <w:multiLevelType w:val="multilevel"/>
    <w:tmpl w:val="E65E5E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7C1340AD"/>
    <w:multiLevelType w:val="multilevel"/>
    <w:tmpl w:val="5C441E3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7C227C19"/>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7D1A2FC8"/>
    <w:multiLevelType w:val="multilevel"/>
    <w:tmpl w:val="74569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7"/>
  </w:num>
  <w:num w:numId="3">
    <w:abstractNumId w:val="11"/>
  </w:num>
  <w:num w:numId="4">
    <w:abstractNumId w:val="1"/>
  </w:num>
  <w:num w:numId="5">
    <w:abstractNumId w:val="20"/>
  </w:num>
  <w:num w:numId="6">
    <w:abstractNumId w:val="14"/>
  </w:num>
  <w:num w:numId="7">
    <w:abstractNumId w:val="13"/>
  </w:num>
  <w:num w:numId="8">
    <w:abstractNumId w:val="15"/>
  </w:num>
  <w:num w:numId="9">
    <w:abstractNumId w:val="22"/>
  </w:num>
  <w:num w:numId="10">
    <w:abstractNumId w:val="4"/>
  </w:num>
  <w:num w:numId="11">
    <w:abstractNumId w:val="3"/>
  </w:num>
  <w:num w:numId="12">
    <w:abstractNumId w:val="17"/>
  </w:num>
  <w:num w:numId="13">
    <w:abstractNumId w:val="2"/>
  </w:num>
  <w:num w:numId="14">
    <w:abstractNumId w:val="16"/>
  </w:num>
  <w:num w:numId="15">
    <w:abstractNumId w:val="9"/>
  </w:num>
  <w:num w:numId="16">
    <w:abstractNumId w:val="10"/>
  </w:num>
  <w:num w:numId="17">
    <w:abstractNumId w:val="6"/>
  </w:num>
  <w:num w:numId="18">
    <w:abstractNumId w:val="12"/>
  </w:num>
  <w:num w:numId="19">
    <w:abstractNumId w:val="0"/>
  </w:num>
  <w:num w:numId="20">
    <w:abstractNumId w:val="21"/>
  </w:num>
  <w:num w:numId="21">
    <w:abstractNumId w:val="5"/>
  </w:num>
  <w:num w:numId="22">
    <w:abstractNumId w:val="8"/>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95E"/>
    <w:rsid w:val="000611FB"/>
    <w:rsid w:val="00077B3E"/>
    <w:rsid w:val="00135B86"/>
    <w:rsid w:val="00167B5D"/>
    <w:rsid w:val="002D4DF7"/>
    <w:rsid w:val="002E5F09"/>
    <w:rsid w:val="003F1E28"/>
    <w:rsid w:val="004F1F4B"/>
    <w:rsid w:val="004F3DF0"/>
    <w:rsid w:val="00595547"/>
    <w:rsid w:val="005966E9"/>
    <w:rsid w:val="005C678D"/>
    <w:rsid w:val="00656E98"/>
    <w:rsid w:val="007403FC"/>
    <w:rsid w:val="00836301"/>
    <w:rsid w:val="00873889"/>
    <w:rsid w:val="008D3302"/>
    <w:rsid w:val="009511A5"/>
    <w:rsid w:val="009570C4"/>
    <w:rsid w:val="00971F53"/>
    <w:rsid w:val="00A432BD"/>
    <w:rsid w:val="00A437A3"/>
    <w:rsid w:val="00A55D0A"/>
    <w:rsid w:val="00B079B4"/>
    <w:rsid w:val="00C21180"/>
    <w:rsid w:val="00C55A90"/>
    <w:rsid w:val="00D2395E"/>
    <w:rsid w:val="00D46528"/>
    <w:rsid w:val="00E0168E"/>
    <w:rsid w:val="00E26D8B"/>
    <w:rsid w:val="00E71AB4"/>
    <w:rsid w:val="00FA25B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6F2004-C001-4F25-A163-7E5AA897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L" w:eastAsia="es-C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0">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1">
    <w:basedOn w:val="TableNormal"/>
    <w:pPr>
      <w:spacing w:after="0" w:line="240" w:lineRule="auto"/>
    </w:pPr>
    <w:tblPr>
      <w:tblStyleRowBandSize w:val="1"/>
      <w:tblStyleColBandSize w:val="1"/>
      <w:tblCellMar>
        <w:top w:w="15" w:type="dxa"/>
        <w:left w:w="115" w:type="dxa"/>
        <w:bottom w:w="15" w:type="dxa"/>
        <w:right w:w="115" w:type="dxa"/>
      </w:tblCellMar>
    </w:tblPr>
  </w:style>
  <w:style w:type="paragraph" w:styleId="Prrafodelista">
    <w:name w:val="List Paragraph"/>
    <w:basedOn w:val="Normal"/>
    <w:uiPriority w:val="34"/>
    <w:qFormat/>
    <w:rsid w:val="00836301"/>
    <w:pPr>
      <w:ind w:left="720"/>
      <w:contextualSpacing/>
    </w:pPr>
  </w:style>
  <w:style w:type="paragraph" w:styleId="Textodeglobo">
    <w:name w:val="Balloon Text"/>
    <w:basedOn w:val="Normal"/>
    <w:link w:val="TextodegloboCar"/>
    <w:uiPriority w:val="99"/>
    <w:semiHidden/>
    <w:unhideWhenUsed/>
    <w:rsid w:val="00077B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7B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788746">
      <w:bodyDiv w:val="1"/>
      <w:marLeft w:val="0"/>
      <w:marRight w:val="0"/>
      <w:marTop w:val="0"/>
      <w:marBottom w:val="0"/>
      <w:divBdr>
        <w:top w:val="none" w:sz="0" w:space="0" w:color="auto"/>
        <w:left w:val="none" w:sz="0" w:space="0" w:color="auto"/>
        <w:bottom w:val="none" w:sz="0" w:space="0" w:color="auto"/>
        <w:right w:val="none" w:sz="0" w:space="0" w:color="auto"/>
      </w:divBdr>
      <w:divsChild>
        <w:div w:id="1602033603">
          <w:marLeft w:val="0"/>
          <w:marRight w:val="0"/>
          <w:marTop w:val="0"/>
          <w:marBottom w:val="0"/>
          <w:divBdr>
            <w:top w:val="none" w:sz="0" w:space="0" w:color="auto"/>
            <w:left w:val="none" w:sz="0" w:space="0" w:color="auto"/>
            <w:bottom w:val="none" w:sz="0" w:space="0" w:color="auto"/>
            <w:right w:val="none" w:sz="0" w:space="0" w:color="auto"/>
          </w:divBdr>
        </w:div>
        <w:div w:id="277414976">
          <w:marLeft w:val="0"/>
          <w:marRight w:val="0"/>
          <w:marTop w:val="0"/>
          <w:marBottom w:val="0"/>
          <w:divBdr>
            <w:top w:val="none" w:sz="0" w:space="0" w:color="auto"/>
            <w:left w:val="none" w:sz="0" w:space="0" w:color="auto"/>
            <w:bottom w:val="none" w:sz="0" w:space="0" w:color="auto"/>
            <w:right w:val="none" w:sz="0" w:space="0" w:color="auto"/>
          </w:divBdr>
        </w:div>
        <w:div w:id="23681741">
          <w:marLeft w:val="0"/>
          <w:marRight w:val="0"/>
          <w:marTop w:val="0"/>
          <w:marBottom w:val="0"/>
          <w:divBdr>
            <w:top w:val="none" w:sz="0" w:space="0" w:color="auto"/>
            <w:left w:val="none" w:sz="0" w:space="0" w:color="auto"/>
            <w:bottom w:val="none" w:sz="0" w:space="0" w:color="auto"/>
            <w:right w:val="none" w:sz="0" w:space="0" w:color="auto"/>
          </w:divBdr>
        </w:div>
        <w:div w:id="482088967">
          <w:marLeft w:val="0"/>
          <w:marRight w:val="0"/>
          <w:marTop w:val="0"/>
          <w:marBottom w:val="0"/>
          <w:divBdr>
            <w:top w:val="none" w:sz="0" w:space="0" w:color="auto"/>
            <w:left w:val="none" w:sz="0" w:space="0" w:color="auto"/>
            <w:bottom w:val="none" w:sz="0" w:space="0" w:color="auto"/>
            <w:right w:val="none" w:sz="0" w:space="0" w:color="auto"/>
          </w:divBdr>
        </w:div>
        <w:div w:id="1080247824">
          <w:marLeft w:val="0"/>
          <w:marRight w:val="0"/>
          <w:marTop w:val="0"/>
          <w:marBottom w:val="0"/>
          <w:divBdr>
            <w:top w:val="none" w:sz="0" w:space="0" w:color="auto"/>
            <w:left w:val="none" w:sz="0" w:space="0" w:color="auto"/>
            <w:bottom w:val="none" w:sz="0" w:space="0" w:color="auto"/>
            <w:right w:val="none" w:sz="0" w:space="0" w:color="auto"/>
          </w:divBdr>
          <w:divsChild>
            <w:div w:id="1105613197">
              <w:marLeft w:val="0"/>
              <w:marRight w:val="0"/>
              <w:marTop w:val="0"/>
              <w:marBottom w:val="0"/>
              <w:divBdr>
                <w:top w:val="none" w:sz="0" w:space="0" w:color="auto"/>
                <w:left w:val="none" w:sz="0" w:space="0" w:color="auto"/>
                <w:bottom w:val="none" w:sz="0" w:space="0" w:color="auto"/>
                <w:right w:val="none" w:sz="0" w:space="0" w:color="auto"/>
              </w:divBdr>
              <w:divsChild>
                <w:div w:id="995572510">
                  <w:marLeft w:val="0"/>
                  <w:marRight w:val="0"/>
                  <w:marTop w:val="0"/>
                  <w:marBottom w:val="0"/>
                  <w:divBdr>
                    <w:top w:val="none" w:sz="0" w:space="0" w:color="auto"/>
                    <w:left w:val="none" w:sz="0" w:space="0" w:color="auto"/>
                    <w:bottom w:val="none" w:sz="0" w:space="0" w:color="auto"/>
                    <w:right w:val="none" w:sz="0" w:space="0" w:color="auto"/>
                  </w:divBdr>
                  <w:divsChild>
                    <w:div w:id="1250583384">
                      <w:marLeft w:val="0"/>
                      <w:marRight w:val="0"/>
                      <w:marTop w:val="0"/>
                      <w:marBottom w:val="0"/>
                      <w:divBdr>
                        <w:top w:val="none" w:sz="0" w:space="0" w:color="auto"/>
                        <w:left w:val="none" w:sz="0" w:space="0" w:color="auto"/>
                        <w:bottom w:val="none" w:sz="0" w:space="0" w:color="auto"/>
                        <w:right w:val="none" w:sz="0" w:space="0" w:color="auto"/>
                      </w:divBdr>
                    </w:div>
                  </w:divsChild>
                </w:div>
                <w:div w:id="1689677484">
                  <w:marLeft w:val="0"/>
                  <w:marRight w:val="0"/>
                  <w:marTop w:val="0"/>
                  <w:marBottom w:val="0"/>
                  <w:divBdr>
                    <w:top w:val="none" w:sz="0" w:space="0" w:color="auto"/>
                    <w:left w:val="none" w:sz="0" w:space="0" w:color="auto"/>
                    <w:bottom w:val="none" w:sz="0" w:space="0" w:color="auto"/>
                    <w:right w:val="none" w:sz="0" w:space="0" w:color="auto"/>
                  </w:divBdr>
                  <w:divsChild>
                    <w:div w:id="1825587120">
                      <w:marLeft w:val="0"/>
                      <w:marRight w:val="0"/>
                      <w:marTop w:val="0"/>
                      <w:marBottom w:val="0"/>
                      <w:divBdr>
                        <w:top w:val="none" w:sz="0" w:space="0" w:color="auto"/>
                        <w:left w:val="none" w:sz="0" w:space="0" w:color="auto"/>
                        <w:bottom w:val="none" w:sz="0" w:space="0" w:color="auto"/>
                        <w:right w:val="none" w:sz="0" w:space="0" w:color="auto"/>
                      </w:divBdr>
                    </w:div>
                  </w:divsChild>
                </w:div>
                <w:div w:id="1846751434">
                  <w:marLeft w:val="0"/>
                  <w:marRight w:val="0"/>
                  <w:marTop w:val="0"/>
                  <w:marBottom w:val="0"/>
                  <w:divBdr>
                    <w:top w:val="none" w:sz="0" w:space="0" w:color="auto"/>
                    <w:left w:val="none" w:sz="0" w:space="0" w:color="auto"/>
                    <w:bottom w:val="none" w:sz="0" w:space="0" w:color="auto"/>
                    <w:right w:val="none" w:sz="0" w:space="0" w:color="auto"/>
                  </w:divBdr>
                </w:div>
                <w:div w:id="1419862116">
                  <w:marLeft w:val="0"/>
                  <w:marRight w:val="0"/>
                  <w:marTop w:val="0"/>
                  <w:marBottom w:val="0"/>
                  <w:divBdr>
                    <w:top w:val="none" w:sz="0" w:space="0" w:color="auto"/>
                    <w:left w:val="none" w:sz="0" w:space="0" w:color="auto"/>
                    <w:bottom w:val="none" w:sz="0" w:space="0" w:color="auto"/>
                    <w:right w:val="none" w:sz="0" w:space="0" w:color="auto"/>
                  </w:divBdr>
                </w:div>
                <w:div w:id="2057922939">
                  <w:marLeft w:val="0"/>
                  <w:marRight w:val="0"/>
                  <w:marTop w:val="0"/>
                  <w:marBottom w:val="0"/>
                  <w:divBdr>
                    <w:top w:val="none" w:sz="0" w:space="0" w:color="auto"/>
                    <w:left w:val="none" w:sz="0" w:space="0" w:color="auto"/>
                    <w:bottom w:val="none" w:sz="0" w:space="0" w:color="auto"/>
                    <w:right w:val="none" w:sz="0" w:space="0" w:color="auto"/>
                  </w:divBdr>
                  <w:divsChild>
                    <w:div w:id="24867270">
                      <w:marLeft w:val="0"/>
                      <w:marRight w:val="0"/>
                      <w:marTop w:val="0"/>
                      <w:marBottom w:val="0"/>
                      <w:divBdr>
                        <w:top w:val="none" w:sz="0" w:space="0" w:color="auto"/>
                        <w:left w:val="none" w:sz="0" w:space="0" w:color="auto"/>
                        <w:bottom w:val="none" w:sz="0" w:space="0" w:color="auto"/>
                        <w:right w:val="none" w:sz="0" w:space="0" w:color="auto"/>
                      </w:divBdr>
                    </w:div>
                    <w:div w:id="967249197">
                      <w:marLeft w:val="0"/>
                      <w:marRight w:val="0"/>
                      <w:marTop w:val="0"/>
                      <w:marBottom w:val="0"/>
                      <w:divBdr>
                        <w:top w:val="none" w:sz="0" w:space="0" w:color="auto"/>
                        <w:left w:val="none" w:sz="0" w:space="0" w:color="auto"/>
                        <w:bottom w:val="none" w:sz="0" w:space="0" w:color="auto"/>
                        <w:right w:val="none" w:sz="0" w:space="0" w:color="auto"/>
                      </w:divBdr>
                      <w:divsChild>
                        <w:div w:id="603533033">
                          <w:marLeft w:val="0"/>
                          <w:marRight w:val="0"/>
                          <w:marTop w:val="0"/>
                          <w:marBottom w:val="0"/>
                          <w:divBdr>
                            <w:top w:val="none" w:sz="0" w:space="0" w:color="auto"/>
                            <w:left w:val="none" w:sz="0" w:space="0" w:color="auto"/>
                            <w:bottom w:val="none" w:sz="0" w:space="0" w:color="auto"/>
                            <w:right w:val="none" w:sz="0" w:space="0" w:color="auto"/>
                          </w:divBdr>
                        </w:div>
                      </w:divsChild>
                    </w:div>
                    <w:div w:id="1962761262">
                      <w:marLeft w:val="0"/>
                      <w:marRight w:val="0"/>
                      <w:marTop w:val="0"/>
                      <w:marBottom w:val="0"/>
                      <w:divBdr>
                        <w:top w:val="none" w:sz="0" w:space="0" w:color="auto"/>
                        <w:left w:val="none" w:sz="0" w:space="0" w:color="auto"/>
                        <w:bottom w:val="none" w:sz="0" w:space="0" w:color="auto"/>
                        <w:right w:val="none" w:sz="0" w:space="0" w:color="auto"/>
                      </w:divBdr>
                    </w:div>
                    <w:div w:id="1959214234">
                      <w:marLeft w:val="0"/>
                      <w:marRight w:val="0"/>
                      <w:marTop w:val="0"/>
                      <w:marBottom w:val="0"/>
                      <w:divBdr>
                        <w:top w:val="none" w:sz="0" w:space="0" w:color="auto"/>
                        <w:left w:val="none" w:sz="0" w:space="0" w:color="auto"/>
                        <w:bottom w:val="none" w:sz="0" w:space="0" w:color="auto"/>
                        <w:right w:val="none" w:sz="0" w:space="0" w:color="auto"/>
                      </w:divBdr>
                      <w:divsChild>
                        <w:div w:id="980499840">
                          <w:marLeft w:val="0"/>
                          <w:marRight w:val="0"/>
                          <w:marTop w:val="0"/>
                          <w:marBottom w:val="0"/>
                          <w:divBdr>
                            <w:top w:val="none" w:sz="0" w:space="0" w:color="auto"/>
                            <w:left w:val="none" w:sz="0" w:space="0" w:color="auto"/>
                            <w:bottom w:val="none" w:sz="0" w:space="0" w:color="auto"/>
                            <w:right w:val="none" w:sz="0" w:space="0" w:color="auto"/>
                          </w:divBdr>
                        </w:div>
                      </w:divsChild>
                    </w:div>
                    <w:div w:id="1966504379">
                      <w:marLeft w:val="0"/>
                      <w:marRight w:val="0"/>
                      <w:marTop w:val="0"/>
                      <w:marBottom w:val="0"/>
                      <w:divBdr>
                        <w:top w:val="none" w:sz="0" w:space="0" w:color="auto"/>
                        <w:left w:val="none" w:sz="0" w:space="0" w:color="auto"/>
                        <w:bottom w:val="none" w:sz="0" w:space="0" w:color="auto"/>
                        <w:right w:val="none" w:sz="0" w:space="0" w:color="auto"/>
                      </w:divBdr>
                    </w:div>
                    <w:div w:id="471605248">
                      <w:marLeft w:val="0"/>
                      <w:marRight w:val="0"/>
                      <w:marTop w:val="0"/>
                      <w:marBottom w:val="0"/>
                      <w:divBdr>
                        <w:top w:val="none" w:sz="0" w:space="0" w:color="auto"/>
                        <w:left w:val="none" w:sz="0" w:space="0" w:color="auto"/>
                        <w:bottom w:val="none" w:sz="0" w:space="0" w:color="auto"/>
                        <w:right w:val="none" w:sz="0" w:space="0" w:color="auto"/>
                      </w:divBdr>
                    </w:div>
                    <w:div w:id="1977762758">
                      <w:marLeft w:val="0"/>
                      <w:marRight w:val="0"/>
                      <w:marTop w:val="0"/>
                      <w:marBottom w:val="0"/>
                      <w:divBdr>
                        <w:top w:val="none" w:sz="0" w:space="0" w:color="auto"/>
                        <w:left w:val="none" w:sz="0" w:space="0" w:color="auto"/>
                        <w:bottom w:val="none" w:sz="0" w:space="0" w:color="auto"/>
                        <w:right w:val="none" w:sz="0" w:space="0" w:color="auto"/>
                      </w:divBdr>
                    </w:div>
                    <w:div w:id="370693040">
                      <w:marLeft w:val="0"/>
                      <w:marRight w:val="0"/>
                      <w:marTop w:val="0"/>
                      <w:marBottom w:val="0"/>
                      <w:divBdr>
                        <w:top w:val="none" w:sz="0" w:space="0" w:color="auto"/>
                        <w:left w:val="none" w:sz="0" w:space="0" w:color="auto"/>
                        <w:bottom w:val="none" w:sz="0" w:space="0" w:color="auto"/>
                        <w:right w:val="none" w:sz="0" w:space="0" w:color="auto"/>
                      </w:divBdr>
                    </w:div>
                    <w:div w:id="1178614158">
                      <w:marLeft w:val="0"/>
                      <w:marRight w:val="0"/>
                      <w:marTop w:val="0"/>
                      <w:marBottom w:val="0"/>
                      <w:divBdr>
                        <w:top w:val="none" w:sz="0" w:space="0" w:color="auto"/>
                        <w:left w:val="none" w:sz="0" w:space="0" w:color="auto"/>
                        <w:bottom w:val="none" w:sz="0" w:space="0" w:color="auto"/>
                        <w:right w:val="none" w:sz="0" w:space="0" w:color="auto"/>
                      </w:divBdr>
                    </w:div>
                    <w:div w:id="672538985">
                      <w:marLeft w:val="0"/>
                      <w:marRight w:val="0"/>
                      <w:marTop w:val="0"/>
                      <w:marBottom w:val="0"/>
                      <w:divBdr>
                        <w:top w:val="none" w:sz="0" w:space="0" w:color="auto"/>
                        <w:left w:val="none" w:sz="0" w:space="0" w:color="auto"/>
                        <w:bottom w:val="none" w:sz="0" w:space="0" w:color="auto"/>
                        <w:right w:val="none" w:sz="0" w:space="0" w:color="auto"/>
                      </w:divBdr>
                    </w:div>
                    <w:div w:id="1287421637">
                      <w:marLeft w:val="0"/>
                      <w:marRight w:val="0"/>
                      <w:marTop w:val="0"/>
                      <w:marBottom w:val="0"/>
                      <w:divBdr>
                        <w:top w:val="none" w:sz="0" w:space="0" w:color="auto"/>
                        <w:left w:val="none" w:sz="0" w:space="0" w:color="auto"/>
                        <w:bottom w:val="none" w:sz="0" w:space="0" w:color="auto"/>
                        <w:right w:val="none" w:sz="0" w:space="0" w:color="auto"/>
                      </w:divBdr>
                    </w:div>
                    <w:div w:id="5203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744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hyperlink" Target="mailto:ccaceres@suseso.c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6336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Cáceres</dc:creator>
  <cp:lastModifiedBy>Francisco Javier Sandoval Rojas</cp:lastModifiedBy>
  <cp:revision>3</cp:revision>
  <cp:lastPrinted>2018-10-31T13:32:00Z</cp:lastPrinted>
  <dcterms:created xsi:type="dcterms:W3CDTF">2018-10-31T13:34:00Z</dcterms:created>
  <dcterms:modified xsi:type="dcterms:W3CDTF">2018-10-31T13:34:00Z</dcterms:modified>
</cp:coreProperties>
</file>